
<file path=[Content_Types].xml><?xml version="1.0" encoding="utf-8"?>
<Types xmlns="http://schemas.openxmlformats.org/package/2006/content-types">
  <Override PartName="/_rels/.rels" ContentType="application/vnd.openxmlformats-package.relationships+xml"/>
  <Override PartName="/word/numbering.xml" ContentType="application/vnd.openxmlformats-officedocument.wordprocessingml.numbering+xml"/>
  <Override PartName="/word/footer7.xml" ContentType="application/vnd.openxmlformats-officedocument.wordprocessingml.footer+xml"/>
  <Override PartName="/word/footer3.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footer9.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footer10.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oter6.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_rels/document.xml.rels" ContentType="application/vnd.openxmlformats-package.relationship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cs="Tahoma"/>
        </w:rPr>
        <w:t>Polskie Radio – Regionalna Rozgłośnia w Olsztynie</w:t>
      </w:r>
    </w:p>
    <w:p>
      <w:pPr>
        <w:pStyle w:val="style0"/>
      </w:pPr>
      <w:r>
        <w:rPr/>
        <w:t>„</w:t>
      </w:r>
      <w:r>
        <w:rPr/>
        <w:t>Radio Olsztyn” SA</w:t>
      </w:r>
    </w:p>
    <w:p>
      <w:pPr>
        <w:pStyle w:val="style0"/>
      </w:pPr>
      <w:r>
        <w:rPr/>
        <w:t>ul. Radiowa 24</w:t>
      </w:r>
    </w:p>
    <w:p>
      <w:pPr>
        <w:pStyle w:val="style0"/>
      </w:pPr>
      <w:r>
        <w:rPr>
          <w:lang w:val="en-US"/>
        </w:rPr>
        <w:t>10-206 Olsztyn</w:t>
      </w:r>
    </w:p>
    <w:p>
      <w:pPr>
        <w:pStyle w:val="style0"/>
      </w:pPr>
      <w:r>
        <w:rPr>
          <w:lang w:val="en-US"/>
        </w:rPr>
        <w:t xml:space="preserve"> </w:t>
      </w:r>
    </w:p>
    <w:p>
      <w:pPr>
        <w:pStyle w:val="style0"/>
      </w:pPr>
      <w:r>
        <w:rPr>
          <w:lang w:val="en-US"/>
        </w:rPr>
        <w:t>NIP:</w:t>
        <w:tab/>
        <w:tab/>
        <w:tab/>
        <w:t>739-05-09-493</w:t>
      </w:r>
    </w:p>
    <w:p>
      <w:pPr>
        <w:pStyle w:val="style0"/>
      </w:pPr>
      <w:r>
        <w:rPr>
          <w:lang w:val="en-US"/>
        </w:rPr>
        <w:t>REGON:</w:t>
        <w:tab/>
        <w:tab/>
        <w:t>510226583</w:t>
      </w:r>
    </w:p>
    <w:p>
      <w:pPr>
        <w:pStyle w:val="style0"/>
      </w:pPr>
      <w:r>
        <w:rPr>
          <w:lang w:val="de-DE"/>
        </w:rPr>
        <w:t>tel/fax:</w:t>
        <w:tab/>
        <w:tab/>
        <w:tab/>
        <w:t>+ 48 089 526 75 86</w:t>
      </w:r>
    </w:p>
    <w:p>
      <w:pPr>
        <w:pStyle w:val="style0"/>
      </w:pPr>
      <w:r>
        <w:rPr>
          <w:lang w:val="de-DE"/>
        </w:rPr>
        <w:t>e-mail:</w:t>
        <w:tab/>
        <w:tab/>
        <w:tab/>
      </w:r>
      <w:hyperlink r:id="rId2">
        <w:r>
          <w:rPr>
            <w:rStyle w:val="style16"/>
            <w:lang w:val="de-DE"/>
          </w:rPr>
          <w:t>sekretariat@ro.com.pl</w:t>
        </w:r>
      </w:hyperlink>
    </w:p>
    <w:p>
      <w:pPr>
        <w:pStyle w:val="style0"/>
      </w:pPr>
      <w:r>
        <w:rPr/>
        <w:t>strona internetowa:</w:t>
        <w:tab/>
      </w:r>
      <w:hyperlink r:id="rId3">
        <w:r>
          <w:rPr>
            <w:rStyle w:val="style16"/>
          </w:rPr>
          <w:t>www.ro.com.p</w:t>
        </w:r>
      </w:hyperlink>
      <w:r>
        <w:rPr/>
        <w:t>l</w:t>
      </w:r>
    </w:p>
    <w:p>
      <w:pPr>
        <w:pStyle w:val="style0"/>
      </w:pPr>
      <w:r>
        <w:rPr/>
      </w:r>
    </w:p>
    <w:p>
      <w:pPr>
        <w:pStyle w:val="style0"/>
      </w:pPr>
      <w:r>
        <w:rPr/>
      </w:r>
    </w:p>
    <w:p>
      <w:pPr>
        <w:pStyle w:val="style0"/>
      </w:pPr>
      <w:r>
        <w:rPr/>
      </w:r>
    </w:p>
    <w:p>
      <w:pPr>
        <w:pStyle w:val="style0"/>
      </w:pPr>
      <w:r>
        <w:rPr/>
      </w:r>
    </w:p>
    <w:p>
      <w:pPr>
        <w:pStyle w:val="style0"/>
        <w:jc w:val="center"/>
      </w:pPr>
      <w:r>
        <w:rPr>
          <w:rFonts w:cs="Tahoma"/>
          <w:b/>
          <w:bCs/>
          <w:sz w:val="28"/>
          <w:szCs w:val="28"/>
        </w:rPr>
        <w:t>SPECYFIKACJA ISTOTNYCH WARUNKÓW ZAMÓWIENIA</w:t>
      </w:r>
    </w:p>
    <w:p>
      <w:pPr>
        <w:pStyle w:val="style0"/>
        <w:jc w:val="center"/>
      </w:pPr>
      <w:r>
        <w:rPr>
          <w:rFonts w:cs="Tahoma"/>
          <w:b/>
          <w:bCs/>
          <w:sz w:val="28"/>
          <w:szCs w:val="28"/>
        </w:rPr>
        <w:t>na usługi sprzątania obiektów i utrzymania terenów zielonych</w:t>
      </w:r>
    </w:p>
    <w:p>
      <w:pPr>
        <w:pStyle w:val="style0"/>
        <w:jc w:val="center"/>
      </w:pPr>
      <w:r>
        <w:rPr>
          <w:rFonts w:cs="Tahoma"/>
          <w:b/>
          <w:bCs/>
          <w:sz w:val="28"/>
          <w:szCs w:val="28"/>
        </w:rPr>
        <w:t>CPV: 90910000-9; 90919200-4; 90914000-7; 77310000-6; 90620000-9</w:t>
      </w:r>
    </w:p>
    <w:p>
      <w:pPr>
        <w:pStyle w:val="style0"/>
        <w:jc w:val="center"/>
      </w:pPr>
      <w:r>
        <w:rPr>
          <w:sz w:val="28"/>
          <w:szCs w:val="28"/>
        </w:rPr>
        <w:t xml:space="preserve">znak sprawy: </w:t>
      </w:r>
      <w:r>
        <w:rPr>
          <w:b/>
          <w:bCs/>
          <w:sz w:val="28"/>
          <w:szCs w:val="28"/>
        </w:rPr>
        <w:t>XXIV-38/01/16</w:t>
      </w:r>
    </w:p>
    <w:p>
      <w:pPr>
        <w:pStyle w:val="style0"/>
      </w:pPr>
      <w:r>
        <w:rPr>
          <w:rFonts w:cs="Tahoma"/>
          <w:sz w:val="28"/>
          <w:szCs w:val="28"/>
        </w:rPr>
      </w:r>
    </w:p>
    <w:p>
      <w:pPr>
        <w:pStyle w:val="style0"/>
      </w:pPr>
      <w:r>
        <w:rPr>
          <w:rFonts w:cs="Tahoma"/>
          <w:sz w:val="28"/>
          <w:szCs w:val="28"/>
        </w:rPr>
      </w:r>
    </w:p>
    <w:p>
      <w:pPr>
        <w:pStyle w:val="style0"/>
      </w:pPr>
      <w:r>
        <w:rPr/>
        <w:t xml:space="preserve">Podstawa prawna: </w:t>
      </w:r>
      <w:r>
        <w:rPr>
          <w:b/>
          <w:bCs/>
        </w:rPr>
        <w:t>ustawa z dnia 29 stycznia 2004r. - Prawo zamówień publicznych</w:t>
      </w:r>
    </w:p>
    <w:p>
      <w:pPr>
        <w:pStyle w:val="style0"/>
        <w:ind w:hanging="0" w:left="1770" w:right="0"/>
      </w:pPr>
      <w:r>
        <w:rPr>
          <w:rFonts w:cs="Tahoma"/>
          <w:b/>
          <w:bCs/>
        </w:rPr>
        <w:t xml:space="preserve">- tekst jednolity  (Dz. U. z 22.12.2015 r. poz. 2164), zwana dalej </w:t>
        <w:br/>
        <w:t>pzp lub ustawą.</w:t>
      </w:r>
    </w:p>
    <w:p>
      <w:pPr>
        <w:pStyle w:val="style0"/>
      </w:pPr>
      <w:r>
        <w:rPr>
          <w:rFonts w:cs="Tahoma"/>
          <w:b/>
          <w:bCs/>
        </w:rPr>
      </w:r>
    </w:p>
    <w:p>
      <w:pPr>
        <w:pStyle w:val="style0"/>
        <w:jc w:val="both"/>
      </w:pPr>
      <w:r>
        <w:rPr>
          <w:rFonts w:cs="Tahoma"/>
        </w:rPr>
        <w:t xml:space="preserve">Postępowanie o udzielenie zamówienia publicznego prowadzone jest w trybie </w:t>
      </w:r>
      <w:r>
        <w:rPr>
          <w:b/>
          <w:bCs/>
        </w:rPr>
        <w:t>przetargu nieograniczonego</w:t>
      </w:r>
      <w:r>
        <w:rPr/>
        <w:t xml:space="preserve"> na podstawie art. 10 ust. 1 i na zasadach określonych w art 39 - 46 pzp.</w:t>
      </w:r>
    </w:p>
    <w:p>
      <w:pPr>
        <w:pStyle w:val="style0"/>
        <w:jc w:val="both"/>
      </w:pPr>
      <w:r>
        <w:rPr>
          <w:rFonts w:cs="Tahoma"/>
          <w:b/>
          <w:bCs/>
        </w:rPr>
      </w:r>
    </w:p>
    <w:p>
      <w:pPr>
        <w:pStyle w:val="style0"/>
        <w:jc w:val="both"/>
      </w:pPr>
      <w:r>
        <w:rPr/>
        <w:t xml:space="preserve">Szacunkowa wartość zamówienia </w:t>
      </w:r>
      <w:r>
        <w:rPr>
          <w:b/>
          <w:bCs/>
        </w:rPr>
        <w:t>nie przekracza</w:t>
      </w:r>
      <w:r>
        <w:rPr/>
        <w:t xml:space="preserve"> kwoty, o której mowa w art. 11 ust. 8 pzp.</w:t>
      </w:r>
    </w:p>
    <w:p>
      <w:pPr>
        <w:pStyle w:val="style0"/>
        <w:jc w:val="both"/>
      </w:pPr>
      <w:r>
        <w:rPr>
          <w:rFonts w:cs="Tahoma"/>
          <w:b/>
          <w:bCs/>
        </w:rPr>
      </w:r>
    </w:p>
    <w:p>
      <w:pPr>
        <w:pStyle w:val="style0"/>
        <w:jc w:val="both"/>
      </w:pPr>
      <w:r>
        <w:rPr>
          <w:rFonts w:cs="Tahoma"/>
        </w:rPr>
        <w:t>Ogłoszenie o zamówieniu zostało:</w:t>
      </w:r>
    </w:p>
    <w:p>
      <w:pPr>
        <w:pStyle w:val="style0"/>
        <w:numPr>
          <w:ilvl w:val="0"/>
          <w:numId w:val="1"/>
        </w:numPr>
        <w:tabs>
          <w:tab w:leader="none" w:pos="8280" w:val="left"/>
        </w:tabs>
        <w:jc w:val="both"/>
      </w:pPr>
      <w:r>
        <w:rPr>
          <w:rFonts w:cs="Tahoma"/>
        </w:rPr>
        <w:t xml:space="preserve">zamieszczone w Biuletynie Zamówień Publicznych w dniu 02.02.2016 r. pod numerem </w:t>
      </w:r>
      <w:bookmarkStart w:id="0" w:name="_GoBack"/>
      <w:bookmarkEnd w:id="0"/>
      <w:r>
        <w:rPr>
          <w:rFonts w:cs="Tahoma"/>
        </w:rPr>
        <w:t>11117 - 2016</w:t>
      </w:r>
    </w:p>
    <w:p>
      <w:pPr>
        <w:pStyle w:val="style0"/>
        <w:numPr>
          <w:ilvl w:val="0"/>
          <w:numId w:val="1"/>
        </w:numPr>
        <w:tabs>
          <w:tab w:leader="none" w:pos="8280" w:val="left"/>
        </w:tabs>
        <w:jc w:val="both"/>
      </w:pPr>
      <w:r>
        <w:rPr>
          <w:rFonts w:cs="Tahoma"/>
        </w:rPr>
        <w:t xml:space="preserve">umieszczone na stronie internetowej zamawiającego </w:t>
      </w:r>
      <w:hyperlink r:id="rId4">
        <w:r>
          <w:rPr>
            <w:rStyle w:val="style16"/>
          </w:rPr>
          <w:t>www.ro.com.pl</w:t>
        </w:r>
      </w:hyperlink>
      <w:r>
        <w:rPr>
          <w:rFonts w:cs="Tahoma"/>
        </w:rPr>
        <w:t>,</w:t>
      </w:r>
    </w:p>
    <w:p>
      <w:pPr>
        <w:pStyle w:val="style0"/>
        <w:numPr>
          <w:ilvl w:val="0"/>
          <w:numId w:val="1"/>
        </w:numPr>
        <w:tabs>
          <w:tab w:leader="none" w:pos="8280" w:val="left"/>
        </w:tabs>
        <w:jc w:val="both"/>
      </w:pPr>
      <w:r>
        <w:rPr>
          <w:rFonts w:cs="Tahoma"/>
        </w:rPr>
        <w:t>wywieszone w siedzibie zamawiającego.</w:t>
      </w:r>
    </w:p>
    <w:p>
      <w:pPr>
        <w:pStyle w:val="style0"/>
      </w:pPr>
      <w:r>
        <w:rPr>
          <w:rFonts w:cs="Tahoma"/>
        </w:rPr>
      </w:r>
    </w:p>
    <w:p>
      <w:pPr>
        <w:pStyle w:val="style0"/>
      </w:pPr>
      <w:r>
        <w:rPr>
          <w:rFonts w:cs="Tahoma"/>
          <w:b/>
          <w:bCs/>
        </w:rPr>
        <w:t>termin składania ofert: 11.02.2016 r. godz. 11:00</w:t>
      </w:r>
    </w:p>
    <w:p>
      <w:pPr>
        <w:pStyle w:val="style0"/>
      </w:pPr>
      <w:r>
        <w:rPr>
          <w:rFonts w:cs="Tahoma"/>
          <w:b/>
          <w:bCs/>
        </w:rPr>
        <w:t>termin otwarcia ofert: 11.02.2016 r. godz. 11:15</w:t>
      </w:r>
    </w:p>
    <w:p>
      <w:pPr>
        <w:pStyle w:val="style0"/>
      </w:pPr>
      <w:r>
        <w:rPr>
          <w:rFonts w:cs="Tahoma"/>
          <w:b/>
          <w:bCs/>
        </w:rPr>
      </w:r>
    </w:p>
    <w:p>
      <w:pPr>
        <w:pStyle w:val="style0"/>
      </w:pPr>
      <w:r>
        <w:rPr>
          <w:b/>
          <w:bCs/>
        </w:rPr>
      </w:r>
    </w:p>
    <w:p>
      <w:pPr>
        <w:pStyle w:val="style0"/>
      </w:pPr>
      <w:r>
        <w:rPr>
          <w:b/>
          <w:bCs/>
        </w:rPr>
      </w:r>
    </w:p>
    <w:p>
      <w:pPr>
        <w:pStyle w:val="style0"/>
      </w:pPr>
      <w:r>
        <w:rPr>
          <w:b/>
          <w:bCs/>
        </w:rPr>
      </w:r>
    </w:p>
    <w:p>
      <w:pPr>
        <w:pStyle w:val="style0"/>
      </w:pPr>
      <w:r>
        <w:rPr/>
      </w:r>
    </w:p>
    <w:p>
      <w:pPr>
        <w:pStyle w:val="style0"/>
        <w:spacing w:after="40" w:before="0"/>
        <w:contextualSpacing w:val="false"/>
      </w:pPr>
      <w:r>
        <w:rPr/>
        <w:t>ZATWIERDZAM:</w:t>
      </w:r>
    </w:p>
    <w:p>
      <w:pPr>
        <w:pStyle w:val="style0"/>
      </w:pPr>
      <w:r>
        <w:rPr/>
        <w:t>Prokurent</w:t>
      </w:r>
    </w:p>
    <w:p>
      <w:pPr>
        <w:pStyle w:val="style0"/>
      </w:pPr>
      <w:r>
        <w:rPr/>
        <w:t xml:space="preserve">Krystyna Byra </w:t>
      </w:r>
    </w:p>
    <w:p>
      <w:pPr>
        <w:pStyle w:val="style0"/>
      </w:pPr>
      <w:r>
        <w:rPr/>
        <w:t>(podpis na oryginale)</w:t>
      </w:r>
    </w:p>
    <w:p>
      <w:pPr>
        <w:sectPr>
          <w:footerReference r:id="rId5" w:type="default"/>
          <w:type w:val="nextPage"/>
          <w:pgSz w:h="16838" w:w="11906"/>
          <w:pgMar w:bottom="1648" w:footer="1134" w:gutter="0" w:header="0" w:left="1134" w:right="1134" w:top="1134"/>
          <w:pgNumType w:fmt="decimal"/>
          <w:formProt w:val="false"/>
          <w:textDirection w:val="lrTb"/>
          <w:docGrid w:charSpace="0" w:linePitch="360" w:type="default"/>
        </w:sectPr>
        <w:pStyle w:val="style0"/>
      </w:pPr>
      <w:r>
        <w:rPr/>
      </w:r>
    </w:p>
    <w:p>
      <w:pPr>
        <w:pStyle w:val="style0"/>
        <w:jc w:val="both"/>
      </w:pPr>
      <w:r>
        <w:rPr>
          <w:rFonts w:cs="Tahoma"/>
          <w:b/>
          <w:bCs/>
        </w:rPr>
        <w:t>1. NAZWA ORAZ ADRES ZAMAWIAJĄCEGO.</w:t>
      </w:r>
    </w:p>
    <w:p>
      <w:pPr>
        <w:pStyle w:val="style0"/>
        <w:jc w:val="both"/>
      </w:pPr>
      <w:r>
        <w:rPr>
          <w:rFonts w:cs="Tahoma"/>
        </w:rPr>
        <w:t>Polskie Radio – Regionalna Rozgłośnia w Olsztynie „Radio Olsztyn” SA z siedzibą w Olsztynie przy ulicy Radiowej 24.</w:t>
      </w:r>
    </w:p>
    <w:p>
      <w:pPr>
        <w:pStyle w:val="style0"/>
        <w:jc w:val="both"/>
      </w:pPr>
      <w:r>
        <w:rPr>
          <w:rFonts w:cs="Tahoma"/>
        </w:rPr>
        <w:t>Konto bankowe: PKO BP O/Olsztyn nr 83 1020 3541 0000 5402 0011 2078.</w:t>
      </w:r>
    </w:p>
    <w:p>
      <w:pPr>
        <w:pStyle w:val="style0"/>
        <w:jc w:val="both"/>
      </w:pPr>
      <w:r>
        <w:rPr>
          <w:rFonts w:cs="Tahoma"/>
        </w:rPr>
        <w:t>NIP: 739-05-09-493</w:t>
      </w:r>
    </w:p>
    <w:p>
      <w:pPr>
        <w:pStyle w:val="style0"/>
        <w:jc w:val="both"/>
      </w:pPr>
      <w:r>
        <w:rPr>
          <w:rFonts w:cs="Tahoma"/>
        </w:rPr>
        <w:t>REGON: 510226583</w:t>
      </w:r>
    </w:p>
    <w:p>
      <w:pPr>
        <w:pStyle w:val="style0"/>
        <w:jc w:val="both"/>
      </w:pPr>
      <w:r>
        <w:rPr>
          <w:rFonts w:cs="Tahoma"/>
        </w:rPr>
        <w:t>KRS 0000038114 – Sąd Rejonowy w Olsztynie VIII Wydział Gospodarczy Krajowego Rejestru Sądowego.</w:t>
      </w:r>
    </w:p>
    <w:p>
      <w:pPr>
        <w:pStyle w:val="style0"/>
        <w:jc w:val="both"/>
      </w:pPr>
      <w:r>
        <w:rPr>
          <w:rFonts w:cs="Tahoma"/>
        </w:rPr>
        <w:t>Kapitał zakładowy: 713 300zł</w:t>
      </w:r>
    </w:p>
    <w:p>
      <w:pPr>
        <w:pStyle w:val="style0"/>
        <w:jc w:val="both"/>
      </w:pPr>
      <w:r>
        <w:rPr>
          <w:rFonts w:cs="Tahoma"/>
        </w:rPr>
        <w:t>Adres do korespondencji: Radio Olsztyn SA</w:t>
      </w:r>
    </w:p>
    <w:p>
      <w:pPr>
        <w:pStyle w:val="style0"/>
        <w:ind w:hanging="0" w:left="2124" w:right="0"/>
        <w:jc w:val="both"/>
      </w:pPr>
      <w:r>
        <w:rPr/>
        <w:t xml:space="preserve">       </w:t>
      </w:r>
      <w:r>
        <w:rPr/>
        <w:t>ul. Radiowa 24</w:t>
      </w:r>
    </w:p>
    <w:p>
      <w:pPr>
        <w:pStyle w:val="style0"/>
        <w:ind w:firstLine="708" w:left="1416" w:right="0"/>
        <w:jc w:val="both"/>
      </w:pPr>
      <w:r>
        <w:rPr>
          <w:rFonts w:cs="Tahoma"/>
        </w:rPr>
        <w:t xml:space="preserve">       </w:t>
      </w:r>
      <w:r>
        <w:rPr>
          <w:rFonts w:cs="Tahoma"/>
        </w:rPr>
        <w:t>10-206 Olsztyn</w:t>
      </w:r>
    </w:p>
    <w:p>
      <w:pPr>
        <w:pStyle w:val="style0"/>
        <w:jc w:val="both"/>
      </w:pPr>
      <w:r>
        <w:rPr>
          <w:rFonts w:cs="Tahoma"/>
        </w:rPr>
        <w:t xml:space="preserve">Faks do korespondencji w sprawie </w:t>
      </w:r>
      <w:r>
        <w:rPr>
          <w:rFonts w:cs="Tahoma"/>
          <w:color w:val="000000"/>
        </w:rPr>
        <w:t>zamówienia: + 48 089 526 75 86.</w:t>
      </w:r>
    </w:p>
    <w:p>
      <w:pPr>
        <w:pStyle w:val="style0"/>
        <w:jc w:val="both"/>
      </w:pPr>
      <w:r>
        <w:rPr/>
        <w:t xml:space="preserve">E-mail do korespondencji w sprawie zamówienia: </w:t>
      </w:r>
      <w:hyperlink r:id="rId6">
        <w:r>
          <w:rPr>
            <w:rStyle w:val="style16"/>
          </w:rPr>
          <w:t>zp@ro.com.pl</w:t>
        </w:r>
      </w:hyperlink>
      <w:r>
        <w:rPr/>
        <w:t>.</w:t>
      </w:r>
    </w:p>
    <w:p>
      <w:pPr>
        <w:pStyle w:val="style0"/>
        <w:jc w:val="both"/>
      </w:pPr>
      <w:r>
        <w:rPr/>
        <w:t xml:space="preserve">Znak </w:t>
      </w:r>
      <w:r>
        <w:rPr>
          <w:color w:val="000000"/>
        </w:rPr>
        <w:t xml:space="preserve">postępowania: </w:t>
      </w:r>
      <w:r>
        <w:rPr>
          <w:b/>
          <w:bCs/>
          <w:color w:val="000000"/>
        </w:rPr>
        <w:t>38/01/16</w:t>
      </w:r>
    </w:p>
    <w:p>
      <w:pPr>
        <w:pStyle w:val="style0"/>
        <w:jc w:val="both"/>
      </w:pPr>
      <w:r>
        <w:rPr>
          <w:u w:val="single"/>
        </w:rPr>
        <w:t>Uwaga:</w:t>
      </w:r>
      <w:r>
        <w:rPr/>
        <w:t xml:space="preserve"> w korespondencji kierowanej do zamawiającego należy posługiwać się tym znakiem.</w:t>
      </w:r>
    </w:p>
    <w:p>
      <w:pPr>
        <w:pStyle w:val="style0"/>
        <w:spacing w:after="0" w:before="120"/>
        <w:contextualSpacing w:val="false"/>
        <w:jc w:val="both"/>
      </w:pPr>
      <w:r>
        <w:rPr>
          <w:rFonts w:cs="Tahoma"/>
          <w:b/>
          <w:bCs/>
        </w:rPr>
        <w:t>2. TRYB UDZIELENIA ZAMÓWIENIA.</w:t>
      </w:r>
    </w:p>
    <w:p>
      <w:pPr>
        <w:pStyle w:val="style0"/>
        <w:jc w:val="both"/>
      </w:pPr>
      <w:r>
        <w:rPr>
          <w:rFonts w:cs="Tahoma"/>
        </w:rPr>
        <w:t>Postępowanie prowadzone jest w trybie przetargu nieograniczonego.</w:t>
      </w:r>
    </w:p>
    <w:p>
      <w:pPr>
        <w:pStyle w:val="style0"/>
        <w:spacing w:after="0" w:before="120"/>
        <w:contextualSpacing w:val="false"/>
        <w:jc w:val="both"/>
      </w:pPr>
      <w:r>
        <w:rPr>
          <w:rFonts w:cs="Tahoma"/>
          <w:b/>
          <w:bCs/>
        </w:rPr>
        <w:t>3. OPIS PRZEDMIOTU ZAMÓWIENIA.</w:t>
      </w:r>
    </w:p>
    <w:p>
      <w:pPr>
        <w:pStyle w:val="style0"/>
        <w:jc w:val="both"/>
      </w:pPr>
      <w:r>
        <w:rPr>
          <w:rFonts w:cs="Tahoma"/>
          <w:b/>
          <w:bCs/>
        </w:rPr>
        <w:t xml:space="preserve">3.1. </w:t>
      </w:r>
      <w:r>
        <w:rPr>
          <w:rFonts w:cs="Tahoma"/>
        </w:rPr>
        <w:t>Przedmiotem zamówienia jest sprzątanie obiektów i utrzymanie terenów zielonych na posesji Radia Olsztyn, w tym:</w:t>
      </w:r>
    </w:p>
    <w:p>
      <w:pPr>
        <w:pStyle w:val="style39"/>
        <w:numPr>
          <w:ilvl w:val="0"/>
          <w:numId w:val="11"/>
        </w:numPr>
        <w:jc w:val="both"/>
      </w:pPr>
      <w:r>
        <w:rPr>
          <w:rFonts w:cs="Tahoma"/>
        </w:rPr>
        <w:t>sprzątanie pomieszczeń i wyposażenia budynku głównego;</w:t>
      </w:r>
    </w:p>
    <w:p>
      <w:pPr>
        <w:pStyle w:val="style39"/>
        <w:numPr>
          <w:ilvl w:val="0"/>
          <w:numId w:val="11"/>
        </w:numPr>
        <w:jc w:val="both"/>
      </w:pPr>
      <w:r>
        <w:rPr>
          <w:rFonts w:cs="Tahoma"/>
        </w:rPr>
        <w:t>sprzątanie pomieszczeń budynku zaplecza technicznego;</w:t>
      </w:r>
    </w:p>
    <w:p>
      <w:pPr>
        <w:pStyle w:val="style39"/>
        <w:numPr>
          <w:ilvl w:val="0"/>
          <w:numId w:val="11"/>
        </w:numPr>
        <w:jc w:val="both"/>
      </w:pPr>
      <w:r>
        <w:rPr>
          <w:rFonts w:cs="Tahoma"/>
        </w:rPr>
        <w:t>sprzątanie i odśnieżanie parkingów;</w:t>
      </w:r>
    </w:p>
    <w:p>
      <w:pPr>
        <w:pStyle w:val="style39"/>
        <w:numPr>
          <w:ilvl w:val="0"/>
          <w:numId w:val="11"/>
        </w:numPr>
        <w:jc w:val="both"/>
      </w:pPr>
      <w:r>
        <w:rPr>
          <w:rFonts w:cs="Tahoma"/>
        </w:rPr>
        <w:t>usuwanie śniegu z dachu budynku głównego;</w:t>
      </w:r>
    </w:p>
    <w:p>
      <w:pPr>
        <w:pStyle w:val="style39"/>
        <w:numPr>
          <w:ilvl w:val="0"/>
          <w:numId w:val="11"/>
        </w:numPr>
        <w:jc w:val="both"/>
      </w:pPr>
      <w:r>
        <w:rPr>
          <w:rFonts w:cs="Tahoma"/>
        </w:rPr>
        <w:t xml:space="preserve">sukcesywny wywóz śniegu w miejsce wyznaczone przez Urząd Miasta Olsztyn; </w:t>
      </w:r>
    </w:p>
    <w:p>
      <w:pPr>
        <w:pStyle w:val="style39"/>
        <w:numPr>
          <w:ilvl w:val="0"/>
          <w:numId w:val="11"/>
        </w:numPr>
        <w:jc w:val="both"/>
      </w:pPr>
      <w:r>
        <w:rPr>
          <w:rFonts w:cs="Tahoma"/>
        </w:rPr>
        <w:t>pielęgnacja terenów zielonych;</w:t>
      </w:r>
    </w:p>
    <w:p>
      <w:pPr>
        <w:pStyle w:val="style39"/>
        <w:numPr>
          <w:ilvl w:val="0"/>
          <w:numId w:val="11"/>
        </w:numPr>
        <w:jc w:val="both"/>
      </w:pPr>
      <w:r>
        <w:rPr>
          <w:rFonts w:cs="Tahoma"/>
        </w:rPr>
        <w:t>sukcesywny wywóz odpadów zielonych (trawa, liście, gałęzie).</w:t>
      </w:r>
    </w:p>
    <w:p>
      <w:pPr>
        <w:pStyle w:val="style0"/>
        <w:jc w:val="both"/>
      </w:pPr>
      <w:r>
        <w:rPr>
          <w:rFonts w:cs="Tahoma"/>
        </w:rPr>
        <w:t>Szczegółowy zakres czynności objętych przedmiotem zamówienia zawiera umowa stanowiąca załącznik nr 7 do siwz.</w:t>
      </w:r>
    </w:p>
    <w:p>
      <w:pPr>
        <w:pStyle w:val="style0"/>
        <w:jc w:val="both"/>
      </w:pPr>
      <w:r>
        <w:rPr>
          <w:rFonts w:cs="Tahoma"/>
          <w:b/>
          <w:bCs/>
        </w:rPr>
        <w:t xml:space="preserve">3.2. </w:t>
      </w:r>
      <w:r>
        <w:rPr>
          <w:rFonts w:cs="Tahoma"/>
          <w:color w:val="000000"/>
        </w:rPr>
        <w:t xml:space="preserve">Zamawiający dopuszcza możliwość dokonania wizji lokalnej w dni powszednie w godzinach 8:00–15:00, po uprzednim uzgodnieniu terminu z osobą upoważnioną do kontaktów </w:t>
        <w:br/>
        <w:t>z wykonawcami, o której mowa w punkcie 7.3 siwz.</w:t>
      </w:r>
    </w:p>
    <w:p>
      <w:pPr>
        <w:pStyle w:val="style0"/>
        <w:spacing w:after="0" w:before="120"/>
        <w:contextualSpacing w:val="false"/>
        <w:jc w:val="both"/>
      </w:pPr>
      <w:r>
        <w:rPr>
          <w:rFonts w:cs="Tahoma"/>
          <w:b/>
          <w:bCs/>
        </w:rPr>
        <w:t>4. TERMIN WYKONANIA ZAMÓWIENIA.</w:t>
      </w:r>
    </w:p>
    <w:p>
      <w:pPr>
        <w:pStyle w:val="style0"/>
        <w:jc w:val="both"/>
      </w:pPr>
      <w:r>
        <w:rPr>
          <w:rFonts w:cs="Tahoma"/>
        </w:rPr>
        <w:t>Usługi będą wykonywane w okresie od 01.04.2016 do 31.03.2018 r.</w:t>
      </w:r>
    </w:p>
    <w:p>
      <w:pPr>
        <w:pStyle w:val="style0"/>
        <w:spacing w:after="0" w:before="120"/>
        <w:contextualSpacing w:val="false"/>
        <w:jc w:val="both"/>
      </w:pPr>
      <w:r>
        <w:rPr>
          <w:rFonts w:cs="Tahoma"/>
          <w:b/>
          <w:bCs/>
        </w:rPr>
        <w:t>5. WARUNKI UDZIAŁU W POSTĘPOWANIU ORAZ OPIS SPOSOBU DOKONYWANIA OCENY SPEŁNIANIA TYCH WARUNKÓW.</w:t>
      </w:r>
    </w:p>
    <w:p>
      <w:pPr>
        <w:pStyle w:val="style0"/>
        <w:jc w:val="both"/>
      </w:pPr>
      <w:r>
        <w:rPr>
          <w:rFonts w:cs="Tahoma"/>
          <w:b/>
          <w:bCs/>
        </w:rPr>
        <w:t xml:space="preserve">5.1. </w:t>
      </w:r>
      <w:r>
        <w:rPr>
          <w:rFonts w:cs="Tahoma"/>
        </w:rPr>
        <w:t>O udzielenie zamówienia mogą ubiegać się wykonawcy, którzy s</w:t>
      </w:r>
      <w:r>
        <w:rPr/>
        <w:t xml:space="preserve">pełniają warunki dotyczące </w:t>
        <w:br/>
        <w:t>(art. 22 ust. 1 pzp):</w:t>
      </w:r>
    </w:p>
    <w:p>
      <w:pPr>
        <w:pStyle w:val="style0"/>
        <w:ind w:hanging="0" w:left="113" w:right="0"/>
        <w:jc w:val="both"/>
      </w:pPr>
      <w:r>
        <w:rPr>
          <w:b/>
          <w:bCs/>
        </w:rPr>
        <w:t xml:space="preserve">5.1.1. </w:t>
      </w:r>
      <w:r>
        <w:rPr/>
        <w:t>Posiadania uprawnień do wykonywania określonej działalności lub czynności, jeżeli przepisy prawa nakładają obowiązek ich posiadania;</w:t>
      </w:r>
    </w:p>
    <w:p>
      <w:pPr>
        <w:pStyle w:val="style0"/>
        <w:ind w:hanging="0" w:left="113" w:right="0"/>
        <w:jc w:val="both"/>
      </w:pPr>
      <w:r>
        <w:rPr>
          <w:b/>
          <w:bCs/>
        </w:rPr>
        <w:t xml:space="preserve">5.1.2. </w:t>
      </w:r>
      <w:r>
        <w:rPr/>
        <w:t>Posiadania wiedzy i doświadczenia;</w:t>
      </w:r>
    </w:p>
    <w:p>
      <w:pPr>
        <w:pStyle w:val="style0"/>
        <w:ind w:hanging="0" w:left="113" w:right="0"/>
        <w:jc w:val="both"/>
      </w:pPr>
      <w:r>
        <w:rPr>
          <w:b/>
          <w:bCs/>
        </w:rPr>
        <w:t xml:space="preserve">5.1.3. </w:t>
      </w:r>
      <w:r>
        <w:rPr/>
        <w:t>Dysponowania odpowiednim potencjałem</w:t>
      </w:r>
      <w:r>
        <w:rPr>
          <w:b/>
          <w:bCs/>
        </w:rPr>
        <w:t xml:space="preserve"> </w:t>
      </w:r>
      <w:r>
        <w:rPr/>
        <w:t>technicznym oraz osobami zdolnymi do wykonania zamówienia;</w:t>
      </w:r>
    </w:p>
    <w:p>
      <w:pPr>
        <w:pStyle w:val="style0"/>
        <w:ind w:hanging="0" w:left="113" w:right="0"/>
        <w:jc w:val="both"/>
      </w:pPr>
      <w:r>
        <w:rPr>
          <w:b/>
          <w:bCs/>
        </w:rPr>
        <w:t xml:space="preserve">5.1.4. </w:t>
      </w:r>
      <w:r>
        <w:rPr/>
        <w:t>Sytuacji ekonomicznej i finansowej.</w:t>
      </w:r>
    </w:p>
    <w:p>
      <w:pPr>
        <w:pStyle w:val="style0"/>
        <w:jc w:val="both"/>
      </w:pPr>
      <w:r>
        <w:rPr>
          <w:b/>
          <w:bCs/>
          <w:color w:val="000000"/>
        </w:rPr>
        <w:t xml:space="preserve">5.2. </w:t>
      </w:r>
      <w:r>
        <w:rPr>
          <w:color w:val="000000"/>
        </w:rPr>
        <w:t>Wykonawca, na podstawie art. 26 ust. 2b pzp,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Podmiot, który zobowiązał się do udostępnienia zasobów zgodnie z art. 26 ust. 2b pzp, odpowiada solidarnie z wykonawcą za szkodę zamawiającego powstałą wskutek nieudostępnienia tych zasobów, chyba że za nieudostępnienie zasobów nie ponosi winy.</w:t>
      </w:r>
    </w:p>
    <w:p>
      <w:pPr>
        <w:pStyle w:val="style0"/>
        <w:jc w:val="both"/>
      </w:pPr>
      <w:r>
        <w:rPr>
          <w:b/>
          <w:color w:val="000000"/>
        </w:rPr>
        <w:t xml:space="preserve">5.3. </w:t>
      </w:r>
      <w:r>
        <w:rPr>
          <w:color w:val="000000"/>
        </w:rPr>
        <w:t>Wykonawca może powierzyć wykonanie części zamówienia podwykonawcy.</w:t>
      </w:r>
    </w:p>
    <w:p>
      <w:pPr>
        <w:pStyle w:val="style0"/>
        <w:ind w:hanging="0" w:left="170" w:right="0"/>
        <w:jc w:val="both"/>
      </w:pPr>
      <w:r>
        <w:rPr>
          <w:b/>
          <w:color w:val="000000"/>
        </w:rPr>
        <w:t>5.3.1.</w:t>
      </w:r>
      <w:r>
        <w:rPr>
          <w:color w:val="000000"/>
        </w:rPr>
        <w:t xml:space="preserve"> Jeżeli wykonawca zamierza powierzyć wykonanie części zamówienia podwykonawcy, Zamawiający żąda wskazania przez wykonawcę w ofercie części zamówienia, której wykonanie powierzy podwykonawcy, lub podania przez wykonawcę nazw (firm) podwykonawców, na zasoby których wykonawca powołuje się na zasadach określonych w art. 26 ust. 2b pzp, w celu wykazania spełniania warunków udziału w postępowaniu, o których mowa w art. 22 ust. 1 pzp. </w:t>
        <w:br/>
        <w:t>W przypadku braku takiego oświadczenia, zamawiający uzna, iż wykonawca będzie realizował zamówienie bez udziału podwykonawców.</w:t>
      </w:r>
    </w:p>
    <w:p>
      <w:pPr>
        <w:pStyle w:val="style0"/>
        <w:ind w:hanging="0" w:left="170" w:right="0"/>
        <w:jc w:val="both"/>
      </w:pPr>
      <w:r>
        <w:rPr>
          <w:b/>
          <w:color w:val="000000"/>
        </w:rPr>
        <w:t xml:space="preserve">5.3.2. </w:t>
      </w:r>
      <w:r>
        <w:rPr>
          <w:color w:val="000000"/>
        </w:rPr>
        <w:t>Jeżeli zmiana lub rezygnacja z podwykonawcy dotyczy podmiotu, na którego zasoby wykonawca powoływał się, na zasadach określonych w art. 26 ust. 2b pzp, w celu wykazania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pPr>
        <w:pStyle w:val="style0"/>
        <w:jc w:val="both"/>
      </w:pPr>
      <w:r>
        <w:rPr>
          <w:rFonts w:cs="Tahoma"/>
          <w:b/>
          <w:bCs/>
        </w:rPr>
        <w:t xml:space="preserve">5.4. </w:t>
      </w:r>
      <w:r>
        <w:rPr>
          <w:rFonts w:cs="Tahoma"/>
        </w:rPr>
        <w:t>Ocena spełniania warunków udziału w postępowaniu będzie dokonywana na podstawie dokumentów i oświadczeń, o których mowa w punkcie 6 siwz.</w:t>
      </w:r>
    </w:p>
    <w:p>
      <w:pPr>
        <w:pStyle w:val="style0"/>
        <w:jc w:val="both"/>
      </w:pPr>
      <w:r>
        <w:rPr>
          <w:rFonts w:cs="Tahoma"/>
          <w:b/>
          <w:bCs/>
        </w:rPr>
        <w:t xml:space="preserve">5.5. </w:t>
      </w:r>
      <w:r>
        <w:rPr>
          <w:rFonts w:cs="Tahoma"/>
        </w:rPr>
        <w:t>Zamawiający uzna, że wykonawca spełnia warunki udziału w postępowaniu, jeżeli:</w:t>
      </w:r>
    </w:p>
    <w:p>
      <w:pPr>
        <w:pStyle w:val="style0"/>
        <w:ind w:hanging="0" w:left="113" w:right="0"/>
        <w:jc w:val="both"/>
      </w:pPr>
      <w:r>
        <w:rPr>
          <w:rFonts w:cs="Tahoma"/>
          <w:b/>
          <w:bCs/>
        </w:rPr>
        <w:t xml:space="preserve">5.5.1. </w:t>
      </w:r>
      <w:r>
        <w:rPr>
          <w:rFonts w:cs="Tahoma"/>
        </w:rPr>
        <w:t>Złożył oświadczenie, o którym mowa w punkcie 6.1.1 siwz.</w:t>
      </w:r>
    </w:p>
    <w:p>
      <w:pPr>
        <w:pStyle w:val="style0"/>
        <w:ind w:hanging="0" w:left="113" w:right="0"/>
        <w:jc w:val="both"/>
      </w:pPr>
      <w:r>
        <w:rPr>
          <w:rFonts w:cs="Tahoma"/>
          <w:b/>
          <w:bCs/>
        </w:rPr>
        <w:t xml:space="preserve">5.5.2. </w:t>
      </w:r>
      <w:r>
        <w:rPr>
          <w:rFonts w:cs="Tahoma"/>
        </w:rPr>
        <w:t xml:space="preserve">Wykonał należycie w </w:t>
      </w:r>
      <w:r>
        <w:rPr>
          <w:rFonts w:cs="Tahoma"/>
          <w:color w:val="000000"/>
        </w:rPr>
        <w:t xml:space="preserve">okresie ostatnich trzech lat przed upływem terminu składania ofert, </w:t>
        <w:br/>
        <w:t>a jeżeli okres prowadzenia działalności jest krótszy – w tym okresie lub nadal wykonuje, co najmniej dwie usługi ciągłe sprzątania obiektów o powierzchni nie mniejszej niż 1000 m</w:t>
      </w:r>
      <w:r>
        <w:rPr>
          <w:rFonts w:cs="Tahoma"/>
          <w:color w:val="000000"/>
          <w:vertAlign w:val="superscript"/>
        </w:rPr>
        <w:t>2</w:t>
      </w:r>
      <w:r>
        <w:rPr>
          <w:rFonts w:cs="Tahoma"/>
          <w:color w:val="000000"/>
        </w:rPr>
        <w:t xml:space="preserve"> w każdej z dwóch usług.</w:t>
      </w:r>
    </w:p>
    <w:p>
      <w:pPr>
        <w:pStyle w:val="style0"/>
        <w:ind w:hanging="0" w:left="113" w:right="0"/>
        <w:jc w:val="both"/>
      </w:pPr>
      <w:r>
        <w:rPr>
          <w:rFonts w:cs="Tahoma"/>
          <w:b/>
          <w:bCs/>
          <w:color w:val="000000"/>
        </w:rPr>
        <w:t xml:space="preserve">5.5.3. </w:t>
      </w:r>
      <w:r>
        <w:rPr>
          <w:rFonts w:cs="Tahoma"/>
          <w:color w:val="000000"/>
        </w:rPr>
        <w:t xml:space="preserve">Wykonał należycie w okresie ostatnich trzech lat przed upływem terminu składania ofert, </w:t>
        <w:br/>
        <w:t>a jeżeli okres prowadzenia działalności jest krótszy – w tym okresie lub nadal wykonuje, co najmniej dwie usługi ciągłe utrzymania terenów zielonych o powierzchni nie mniejszej niż 1000 m</w:t>
      </w:r>
      <w:r>
        <w:rPr>
          <w:rFonts w:cs="Tahoma"/>
          <w:color w:val="000000"/>
          <w:vertAlign w:val="superscript"/>
        </w:rPr>
        <w:t>2</w:t>
      </w:r>
      <w:r>
        <w:rPr>
          <w:rFonts w:cs="Tahoma"/>
          <w:color w:val="000000"/>
        </w:rPr>
        <w:t xml:space="preserve"> w każdej z dwóch usług.</w:t>
      </w:r>
    </w:p>
    <w:p>
      <w:pPr>
        <w:pStyle w:val="style0"/>
        <w:jc w:val="both"/>
      </w:pPr>
      <w:r>
        <w:rPr>
          <w:rFonts w:cs="Tahoma"/>
          <w:b/>
        </w:rPr>
        <w:t xml:space="preserve">5.6. </w:t>
      </w:r>
      <w:r>
        <w:rPr>
          <w:rFonts w:cs="Tahoma"/>
        </w:rPr>
        <w:t xml:space="preserve">Zamawiający uzna warunki, o których mowa w punktach 5.5.2 i 5.5.3 za spełnione w przypadku ich łącznego spełnienia przez wykonawcę i podmioty, o których mowa w punkcie 5.2 siwz, jeżeli wykonawca wykazując spełnianie warunków, o których mowa w punkcie 5.1. siwz polega na </w:t>
      </w:r>
      <w:r>
        <w:rPr>
          <w:rFonts w:cs="Tahoma"/>
          <w:color w:val="000000"/>
        </w:rPr>
        <w:t>zasobach innych podmiotów, na zasadach określonych w art. 26 ust. 2b pzp.</w:t>
      </w:r>
    </w:p>
    <w:p>
      <w:pPr>
        <w:pStyle w:val="style0"/>
        <w:jc w:val="both"/>
      </w:pPr>
      <w:r>
        <w:rPr>
          <w:rFonts w:cs="Tahoma"/>
          <w:b/>
          <w:bCs/>
          <w:color w:val="000000"/>
        </w:rPr>
        <w:t xml:space="preserve">5.6. </w:t>
      </w:r>
      <w:r>
        <w:rPr>
          <w:rFonts w:cs="Tahoma"/>
          <w:bCs/>
          <w:color w:val="000000"/>
        </w:rPr>
        <w:t xml:space="preserve">W przypadku wykonawców wspólnie ubiegających się o udzielenie zamówienia, zamawiający uzna warunki, o których mowa w punkcie 5.1 siwz, za spełnione jeżeli wykonawcy spełniają </w:t>
        <w:br/>
        <w:t>je łącznie.</w:t>
      </w:r>
    </w:p>
    <w:p>
      <w:pPr>
        <w:pStyle w:val="style0"/>
        <w:spacing w:after="0" w:before="120"/>
        <w:contextualSpacing w:val="false"/>
        <w:jc w:val="both"/>
      </w:pPr>
      <w:r>
        <w:rPr>
          <w:rFonts w:cs="Tahoma"/>
          <w:b/>
          <w:bCs/>
          <w:color w:val="000000"/>
        </w:rPr>
        <w:t xml:space="preserve">6. WYKAZ </w:t>
      </w:r>
      <w:r>
        <w:rPr>
          <w:rFonts w:cs="Tahoma"/>
          <w:b/>
          <w:bCs/>
        </w:rPr>
        <w:t>OŚWIADCZEŃ LUB DOKUMENTÓW, JAKIE MAJĄ DOSTARCZYĆ WYKONAWCY W CELU POTWIERDZENIA SPEŁNIANIA WARUNKÓW UDZIAŁU W POSTĘPOWANIU.</w:t>
      </w:r>
    </w:p>
    <w:p>
      <w:pPr>
        <w:pStyle w:val="style0"/>
        <w:jc w:val="both"/>
      </w:pPr>
      <w:r>
        <w:rPr>
          <w:rFonts w:cs="Tahoma"/>
          <w:b/>
          <w:bCs/>
        </w:rPr>
        <w:t xml:space="preserve">6.1. </w:t>
      </w:r>
      <w:r>
        <w:rPr>
          <w:rFonts w:cs="Tahoma"/>
        </w:rPr>
        <w:t>W celu wykazania spełniania przez wykonawcę warunków, o których mowa w punkcie 5.1 siwz (por. art. 22 ust. 1 pzp), zamawiający żąda złożenia następujących dokumentów:</w:t>
      </w:r>
    </w:p>
    <w:p>
      <w:pPr>
        <w:pStyle w:val="style0"/>
        <w:ind w:hanging="0" w:left="113" w:right="0"/>
        <w:jc w:val="both"/>
      </w:pPr>
      <w:r>
        <w:rPr>
          <w:rFonts w:cs="Tahoma"/>
          <w:b/>
          <w:bCs/>
        </w:rPr>
        <w:t xml:space="preserve">6.1.1. </w:t>
      </w:r>
      <w:r>
        <w:rPr>
          <w:rFonts w:cs="Tahoma"/>
        </w:rPr>
        <w:t>Oświadczenia wykonawcy o spełnianiu warunków udziału w postępowaniu zawartych w art. 22 ust. 1 pzp, według wzoru stanowiącego załącznik nr 1 do siwz.</w:t>
      </w:r>
    </w:p>
    <w:p>
      <w:pPr>
        <w:pStyle w:val="style0"/>
        <w:ind w:hanging="0" w:left="113" w:right="0"/>
        <w:jc w:val="both"/>
      </w:pPr>
      <w:r>
        <w:rPr>
          <w:rFonts w:cs="Tahoma"/>
          <w:b/>
          <w:bCs/>
        </w:rPr>
        <w:t xml:space="preserve">6.1.2. </w:t>
      </w:r>
      <w:r>
        <w:rPr>
          <w:rFonts w:cs="Tahoma"/>
        </w:rPr>
        <w:t>Wykazu, według wzoru stanowiącego załącznik nr 2 do siwz, aktualnie wykonywanych lub wykonanych w okresie ostatnich trzech lat przed upływem terminu składania ofert, a jeżeli okres prowadzenia działalności jest krótszy – w tym okresie, głównych usług ciągłych sprzątania obiektów (o powierzchni nie mniejszej niż 1000 m</w:t>
      </w:r>
      <w:r>
        <w:rPr/>
        <w:t>²)</w:t>
      </w:r>
      <w:r>
        <w:rPr>
          <w:rFonts w:cs="Tahoma"/>
        </w:rPr>
        <w:t xml:space="preserve"> z podaniem ich wartości, przedmiotu, dat wykonania </w:t>
        <w:br/>
        <w:t>i podmiotów, na rzecz których usługi zostały wykonane oraz załączeniem dowodów, czy zostały wykonane lub są wykonywane należycie.</w:t>
      </w:r>
    </w:p>
    <w:p>
      <w:pPr>
        <w:pStyle w:val="style0"/>
        <w:ind w:hanging="0" w:left="113" w:right="0"/>
        <w:jc w:val="both"/>
      </w:pPr>
      <w:r>
        <w:rPr>
          <w:rFonts w:cs="Tahoma"/>
        </w:rPr>
        <w:t xml:space="preserve">Jeżeli wykonawca dla spełnienia warunku posiadania wiedzy i doświadczenia, o którym mowa </w:t>
        <w:br/>
        <w:t xml:space="preserve">w punkcie 5.5.2 siwz, przy realizacji zamówienia będzie polegał na zasobach innych podmiotów </w:t>
        <w:br/>
        <w:t>(p. 5.2 siwz), wykaz może zawierać usługi wykonane lub wykonywane przez te podmioty.</w:t>
      </w:r>
    </w:p>
    <w:p>
      <w:pPr>
        <w:pStyle w:val="style0"/>
        <w:ind w:hanging="0" w:left="113" w:right="0"/>
        <w:jc w:val="both"/>
      </w:pPr>
      <w:r>
        <w:rPr>
          <w:rFonts w:cs="Tahoma"/>
          <w:b/>
          <w:bCs/>
        </w:rPr>
        <w:t>6.1.3.</w:t>
      </w:r>
      <w:r>
        <w:rPr>
          <w:rFonts w:cs="Tahoma"/>
        </w:rPr>
        <w:t xml:space="preserve"> Wykazu, według wzoru stanowiącego załącznik nr 3 do siwz, aktualnie wykonywanych lub wykonanych w okresie ostatnich trzech lat przed upływem terminu składania ofert, a jeżeli okres prowadzenia działalności jest krótszy – w tym okresie, głównych usług ciągłych utrzymania terenów zielonych (o powierzchni nie mniejszej niż 1000 m</w:t>
      </w:r>
      <w:r>
        <w:rPr/>
        <w:t>²)</w:t>
      </w:r>
      <w:r>
        <w:rPr>
          <w:rFonts w:cs="Tahoma"/>
        </w:rPr>
        <w:t xml:space="preserve"> z podaniem ich wartości, przedmiotu, dat wykonania i podmiotów, na rzecz których usługi zostały wykonane oraz załączeniem dowodów, czy zostały wykonane lub są wykonywane należycie.</w:t>
      </w:r>
    </w:p>
    <w:p>
      <w:pPr>
        <w:pStyle w:val="style0"/>
        <w:ind w:hanging="0" w:left="113" w:right="0"/>
        <w:jc w:val="both"/>
      </w:pPr>
      <w:r>
        <w:rPr>
          <w:rFonts w:cs="Tahoma"/>
        </w:rPr>
        <w:t xml:space="preserve">Jeżeli wykonawca dla spełnienia warunku posiadania wiedzy i doświadczenia, o którym mowa </w:t>
        <w:br/>
        <w:t xml:space="preserve">w punkcie 5.5.3 siwz, przy realizacji zamówienia będzie polegał na zasobach innych podmiotów </w:t>
        <w:br/>
        <w:t>(p. 5.2 siwz), wykaz może zawierać usługi wykonane lub wykonywane przez te podmioty.</w:t>
      </w:r>
    </w:p>
    <w:p>
      <w:pPr>
        <w:pStyle w:val="style0"/>
        <w:jc w:val="both"/>
      </w:pPr>
      <w:r>
        <w:rPr>
          <w:rFonts w:cs="Tahoma"/>
          <w:b/>
        </w:rPr>
        <w:t>6.2.</w:t>
      </w:r>
      <w:r>
        <w:rPr>
          <w:rFonts w:cs="Tahoma"/>
        </w:rPr>
        <w:t xml:space="preserve"> Jeżeli wykonawca, wykazując spełnianie warunków, o których mowa w punkcie 5.1 siwz </w:t>
        <w:br/>
        <w:t>(art. 22 ust. 1 ustawy), polega na zasobach innych podmiotów na zasadach określonych w punkcie 5.2 siwz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 złożenia dokumentów dotyczących:</w:t>
      </w:r>
    </w:p>
    <w:p>
      <w:pPr>
        <w:pStyle w:val="style0"/>
        <w:ind w:hanging="0" w:left="113" w:right="0"/>
        <w:jc w:val="both"/>
      </w:pPr>
      <w:r>
        <w:rPr>
          <w:rFonts w:cs="Tahoma"/>
          <w:b/>
          <w:bCs/>
        </w:rPr>
        <w:t xml:space="preserve">6.2.1. </w:t>
      </w:r>
      <w:r>
        <w:rPr>
          <w:rFonts w:cs="Tahoma"/>
        </w:rPr>
        <w:t>zakresu dostępnych wykonawcy zasobów innego podmiotu;</w:t>
      </w:r>
    </w:p>
    <w:p>
      <w:pPr>
        <w:pStyle w:val="style0"/>
        <w:ind w:hanging="0" w:left="113" w:right="0"/>
        <w:jc w:val="both"/>
      </w:pPr>
      <w:r>
        <w:rPr>
          <w:rFonts w:cs="Tahoma"/>
          <w:b/>
          <w:bCs/>
        </w:rPr>
        <w:t xml:space="preserve">6.2.2. </w:t>
      </w:r>
      <w:r>
        <w:rPr>
          <w:rFonts w:cs="Tahoma"/>
        </w:rPr>
        <w:t>sposobu wykorzystania zasobów innego podmiotu, przez wykonawcę, przy wykonywaniu zamówienia;</w:t>
      </w:r>
    </w:p>
    <w:p>
      <w:pPr>
        <w:pStyle w:val="style0"/>
        <w:ind w:hanging="0" w:left="113" w:right="0"/>
        <w:jc w:val="both"/>
      </w:pPr>
      <w:r>
        <w:rPr>
          <w:rFonts w:cs="Tahoma"/>
          <w:b/>
          <w:bCs/>
        </w:rPr>
        <w:t xml:space="preserve">6.2.3. </w:t>
      </w:r>
      <w:r>
        <w:rPr>
          <w:rFonts w:cs="Tahoma"/>
        </w:rPr>
        <w:t>charakteru stosunku, jaki będzie łączył wykonawcę</w:t>
      </w:r>
      <w:r>
        <w:rPr>
          <w:rFonts w:cs="Tahoma"/>
          <w:b/>
          <w:bCs/>
        </w:rPr>
        <w:t xml:space="preserve"> </w:t>
      </w:r>
      <w:r>
        <w:rPr>
          <w:rFonts w:cs="Tahoma"/>
        </w:rPr>
        <w:t>z innym podmiotem;</w:t>
      </w:r>
    </w:p>
    <w:p>
      <w:pPr>
        <w:pStyle w:val="style0"/>
        <w:ind w:hanging="0" w:left="113" w:right="0"/>
        <w:jc w:val="both"/>
      </w:pPr>
      <w:r>
        <w:rPr>
          <w:rFonts w:cs="Tahoma"/>
          <w:b/>
          <w:bCs/>
        </w:rPr>
        <w:t xml:space="preserve">6.2.4. </w:t>
      </w:r>
      <w:r>
        <w:rPr>
          <w:rFonts w:cs="Tahoma"/>
        </w:rPr>
        <w:t>zakresu i okresu udziału innego podmiotu przy wykonywaniu zadania.</w:t>
      </w:r>
    </w:p>
    <w:p>
      <w:pPr>
        <w:pStyle w:val="style0"/>
        <w:jc w:val="both"/>
      </w:pPr>
      <w:r>
        <w:rPr>
          <w:rFonts w:cs="Tahoma"/>
          <w:b/>
          <w:bCs/>
        </w:rPr>
        <w:t>6.3.</w:t>
      </w:r>
      <w:r>
        <w:rPr>
          <w:rFonts w:cs="Tahoma"/>
        </w:rPr>
        <w:t xml:space="preserve"> W celu wykazania braku podstaw do wykluczenia z postępowania o udzielenie zamówienia wykonawcy w okolicznościach, o których mowa w art. 24 ust. 1 ustawy, zamawiający żąda złożenia następujących dokumentów:</w:t>
      </w:r>
    </w:p>
    <w:p>
      <w:pPr>
        <w:pStyle w:val="style0"/>
        <w:ind w:hanging="0" w:left="113" w:right="0"/>
        <w:jc w:val="both"/>
      </w:pPr>
      <w:r>
        <w:rPr>
          <w:rFonts w:cs="Tahoma"/>
          <w:b/>
          <w:bCs/>
        </w:rPr>
        <w:t xml:space="preserve">6.3.1. </w:t>
      </w:r>
      <w:r>
        <w:rPr>
          <w:rFonts w:cs="Tahoma"/>
        </w:rPr>
        <w:t>oświadczenia o braku podstaw do wykluczenia według wzoru stanowiącego załącznik nr 4 do siwz;</w:t>
      </w:r>
    </w:p>
    <w:p>
      <w:pPr>
        <w:pStyle w:val="style0"/>
        <w:ind w:hanging="0" w:left="113" w:right="0"/>
        <w:jc w:val="both"/>
      </w:pPr>
      <w:r>
        <w:rPr>
          <w:rFonts w:cs="Tahoma"/>
          <w:b/>
          <w:bCs/>
          <w:color w:val="000000"/>
        </w:rPr>
        <w:t xml:space="preserve">6.3.2. </w:t>
      </w:r>
      <w:r>
        <w:rPr>
          <w:rFonts w:cs="Tahoma"/>
          <w:color w:val="000000"/>
        </w:rPr>
        <w:t>wykazu podmiotów należących do tej samej co wykonawca grupy kapitałowej, o której mowa w art. 24 ust. 2 pkt 5 ustawy, albo informacji o tym, że wykonawca nie należy do grupy kapitałowej, według wzoru, stanowiącego załącznik nr 5 do siwz;</w:t>
      </w:r>
    </w:p>
    <w:p>
      <w:pPr>
        <w:pStyle w:val="style0"/>
        <w:jc w:val="both"/>
      </w:pPr>
      <w:r>
        <w:rPr>
          <w:rFonts w:cs="Tahoma"/>
          <w:b/>
          <w:bCs/>
          <w:color w:val="000000"/>
        </w:rPr>
        <w:t xml:space="preserve">6.4. </w:t>
      </w:r>
      <w:r>
        <w:rPr>
          <w:rFonts w:cs="Tahoma"/>
          <w:color w:val="000000"/>
        </w:rPr>
        <w:t xml:space="preserve">Jeżeli wykonawca, wykazując spełnianie warunków, o których mowa w art. 22 ust. 1 pzp </w:t>
        <w:br/>
        <w:t xml:space="preserve">(pkt 5.1 siwz), polega na zasobach innych podmiotów na zasadach określonych w art. 26 ust. 2b pzp (pkt 5.2 siwz), a podmioty te będą brały udział w realizacji części zamówienia, zamawiający żąda od wykonawcy przedstawienia oświadczeń tych podmiotów o braku podstaw do wykluczenia </w:t>
        <w:br/>
        <w:t>z postępowania o udzielenie zamówienia w okolicznościach, o których mowa w art. 24 ust. 1 pzp, według wzoru stanowiącego załącznik nr 4 do siwz oraz wykazu bądź informacji dotyczącej przynależności do grupy kapitałowej, o której mowa w art. 24 ust. 2 pkt 5 pzp, według wzoru stanowiącego załącznik nr 5 do siwz.</w:t>
      </w:r>
    </w:p>
    <w:p>
      <w:pPr>
        <w:pStyle w:val="style0"/>
        <w:jc w:val="both"/>
      </w:pPr>
      <w:r>
        <w:rPr>
          <w:rFonts w:cs="Tahoma"/>
          <w:b/>
        </w:rPr>
        <w:t xml:space="preserve">6.5. </w:t>
      </w:r>
      <w:r>
        <w:rPr>
          <w:rFonts w:cs="Tahoma"/>
        </w:rPr>
        <w:t>W przypadku wykonawców wspólnie ubiegających się o udzielenie zamówienia, oświadczenie o braku podstaw do wykluczenia z postępowania o udzielenie zamówienia w okolicznościach, o których mowa w art. 24 ust. 1 pzp, według wzoru stanowiącego załącznik nr 4 do siwz oraz wykazu bądź informacji dotyczącej przynależności do grupy kapitałowej, o której mowa w art. 24 ust. 2 pkt 5 pzp, według wzoru stanowiącego załącznik nr 5 do siwz, składa każdy z wykonawców.</w:t>
      </w:r>
    </w:p>
    <w:p>
      <w:pPr>
        <w:pStyle w:val="style0"/>
        <w:jc w:val="both"/>
      </w:pPr>
      <w:r>
        <w:rPr>
          <w:rFonts w:cs="Tahoma"/>
          <w:b/>
          <w:bCs/>
        </w:rPr>
        <w:t xml:space="preserve">6.6. </w:t>
      </w:r>
      <w:r>
        <w:rPr>
          <w:rFonts w:cs="Tahoma"/>
        </w:rPr>
        <w:t>Dokumenty muszą być składane w formie oryginału lub kopii poświadczonej za zgodność z oryginałem przez wykonawcę. Taką samą formę winny mieć dokumenty składane w trybie art. 26 ust. 3.</w:t>
      </w:r>
    </w:p>
    <w:p>
      <w:pPr>
        <w:pStyle w:val="style0"/>
        <w:jc w:val="both"/>
      </w:pPr>
      <w:r>
        <w:rPr>
          <w:rFonts w:cs="Tahoma"/>
          <w:b/>
          <w:bCs/>
        </w:rPr>
        <w:t xml:space="preserve">6.7. </w:t>
      </w:r>
      <w:r>
        <w:rPr>
          <w:rFonts w:cs="Tahoma"/>
        </w:rPr>
        <w:t>Dokumenty sporządzone w języku obcym muszą być złożone wraz z tłumaczeniem na język polski.</w:t>
      </w:r>
    </w:p>
    <w:p>
      <w:pPr>
        <w:pStyle w:val="style0"/>
        <w:spacing w:after="0" w:before="120"/>
        <w:contextualSpacing w:val="false"/>
        <w:jc w:val="both"/>
      </w:pPr>
      <w:r>
        <w:rPr>
          <w:rFonts w:cs="Tahoma"/>
          <w:b/>
          <w:bCs/>
        </w:rPr>
        <w:t>7. INFORMACJE O SPOSOBIE POROZUMIEWANIA SIĘ ZAMAWIAJĄCEGO Z WYKONAWCAMI ORAZ PRZEKAZYWANIA OŚWIADCZEŃ LUB DOKUMENTÓW ORAZ WSKAZANIE OSOBY UPRAWNIONEJ DO KONTAKTOWANIA SIĘ Z WYKONAWCAMI.</w:t>
      </w:r>
    </w:p>
    <w:p>
      <w:pPr>
        <w:pStyle w:val="style0"/>
        <w:jc w:val="both"/>
      </w:pPr>
      <w:r>
        <w:rPr>
          <w:rFonts w:cs="Tahoma"/>
          <w:b/>
          <w:bCs/>
        </w:rPr>
        <w:t xml:space="preserve">7.1. </w:t>
      </w:r>
      <w:r>
        <w:rPr>
          <w:rFonts w:cs="Tahoma"/>
        </w:rPr>
        <w:t>Ofertę wraz ze wszystkimi załączonymi do niej oświadczeniami i dokumentami, zgodnie z art. 82 ust. 2 pzp składa się, pod rygorem nieważności, w formie pisemnej.</w:t>
      </w:r>
    </w:p>
    <w:p>
      <w:pPr>
        <w:pStyle w:val="style0"/>
        <w:jc w:val="both"/>
      </w:pPr>
      <w:r>
        <w:rPr>
          <w:rFonts w:cs="Tahoma"/>
          <w:b/>
          <w:bCs/>
        </w:rPr>
        <w:t xml:space="preserve">7.2. </w:t>
      </w:r>
      <w:r>
        <w:rPr>
          <w:rFonts w:cs="Tahoma"/>
        </w:rPr>
        <w:t>Zamawiający ustala, że w przedmiotowym postępowaniu oświadczenia, wnioski, zawiadomienia, zapytania, wyjaśnienia, informacje, zwane dalej korespondencją, zamawiający i wykonawcy przekazują:</w:t>
      </w:r>
    </w:p>
    <w:p>
      <w:pPr>
        <w:pStyle w:val="style0"/>
        <w:numPr>
          <w:ilvl w:val="0"/>
          <w:numId w:val="2"/>
        </w:numPr>
        <w:jc w:val="both"/>
      </w:pPr>
      <w:r>
        <w:rPr>
          <w:rFonts w:cs="Tahoma"/>
        </w:rPr>
        <w:t>pisemnie: Radio Olsztyn SA, 10-206 Olsztyn, ul. Radiowa 24,</w:t>
      </w:r>
    </w:p>
    <w:p>
      <w:pPr>
        <w:pStyle w:val="style0"/>
        <w:numPr>
          <w:ilvl w:val="0"/>
          <w:numId w:val="2"/>
        </w:numPr>
        <w:jc w:val="both"/>
      </w:pPr>
      <w:r>
        <w:rPr>
          <w:rFonts w:cs="Tahoma"/>
        </w:rPr>
        <w:t xml:space="preserve">lub drogą elektroniczną: </w:t>
      </w:r>
      <w:hyperlink r:id="rId7">
        <w:r>
          <w:rPr>
            <w:rStyle w:val="style16"/>
          </w:rPr>
          <w:t>zp@ro.com.pl</w:t>
        </w:r>
      </w:hyperlink>
      <w:r>
        <w:rPr>
          <w:rFonts w:cs="Tahoma"/>
        </w:rPr>
        <w:t>,</w:t>
      </w:r>
    </w:p>
    <w:p>
      <w:pPr>
        <w:pStyle w:val="style0"/>
        <w:numPr>
          <w:ilvl w:val="0"/>
          <w:numId w:val="2"/>
        </w:numPr>
        <w:jc w:val="both"/>
      </w:pPr>
      <w:r>
        <w:rPr>
          <w:rFonts w:cs="Tahoma"/>
          <w:color w:val="000000"/>
        </w:rPr>
        <w:t>lub faksem: + 48 089 526 75 86.</w:t>
      </w:r>
    </w:p>
    <w:p>
      <w:pPr>
        <w:pStyle w:val="style0"/>
        <w:ind w:hanging="0" w:left="113" w:right="0"/>
        <w:jc w:val="both"/>
      </w:pPr>
      <w:r>
        <w:rPr>
          <w:rFonts w:cs="Tahoma"/>
          <w:b/>
          <w:bCs/>
          <w:color w:val="000000"/>
        </w:rPr>
        <w:t xml:space="preserve">7.2.1. </w:t>
      </w:r>
      <w:r>
        <w:rPr>
          <w:rFonts w:cs="Tahoma"/>
          <w:color w:val="000000"/>
        </w:rPr>
        <w:t>Jeżeli zamawiający lub wykonawca przekazuje korespondencję faksem lub drogą elektroniczną, każda ze stron na żądanie drugiej niezwłocznie potwierdza, tą samą drogą, fakt jej otrzymania.</w:t>
      </w:r>
    </w:p>
    <w:p>
      <w:pPr>
        <w:pStyle w:val="style0"/>
        <w:jc w:val="both"/>
      </w:pPr>
      <w:r>
        <w:rPr>
          <w:rFonts w:cs="Tahoma"/>
          <w:b/>
          <w:bCs/>
          <w:color w:val="000000"/>
        </w:rPr>
        <w:t xml:space="preserve">7.3. </w:t>
      </w:r>
      <w:r>
        <w:rPr>
          <w:rFonts w:cs="Tahoma"/>
          <w:color w:val="000000"/>
        </w:rPr>
        <w:t>Osobami uprawnionymi do kontaktowania się z wykonawcami są Anna Bonikowska i Mieczysław Burzyk.</w:t>
      </w:r>
    </w:p>
    <w:p>
      <w:pPr>
        <w:pStyle w:val="style0"/>
        <w:spacing w:after="0" w:before="120"/>
        <w:contextualSpacing w:val="false"/>
        <w:jc w:val="both"/>
      </w:pPr>
      <w:r>
        <w:rPr>
          <w:rFonts w:cs="Tahoma"/>
          <w:b/>
          <w:bCs/>
        </w:rPr>
        <w:t>8. WYMAGANIA DOTYCZĄCE WADIUM.</w:t>
      </w:r>
    </w:p>
    <w:p>
      <w:pPr>
        <w:pStyle w:val="style0"/>
        <w:jc w:val="both"/>
      </w:pPr>
      <w:r>
        <w:rPr>
          <w:rFonts w:cs="Tahoma"/>
        </w:rPr>
        <w:t>Zamawiający nie żąda wniesienia wadium.</w:t>
      </w:r>
    </w:p>
    <w:p>
      <w:pPr>
        <w:pStyle w:val="style0"/>
        <w:spacing w:after="0" w:before="120"/>
        <w:contextualSpacing w:val="false"/>
        <w:jc w:val="both"/>
      </w:pPr>
      <w:r>
        <w:rPr>
          <w:rFonts w:cs="Tahoma"/>
          <w:b/>
          <w:bCs/>
        </w:rPr>
        <w:t>9. TERMIN ZWIĄZANIA OFERTĄ.</w:t>
      </w:r>
    </w:p>
    <w:p>
      <w:pPr>
        <w:pStyle w:val="style0"/>
        <w:jc w:val="both"/>
      </w:pPr>
      <w:r>
        <w:rPr>
          <w:rFonts w:cs="Tahoma"/>
        </w:rPr>
        <w:t>Wykonawca jest związany ofertą przez 30 dni. Bieg terminu związania ofertą rozpoczyna się wraz z upływem terminu składania ofert.</w:t>
      </w:r>
    </w:p>
    <w:p>
      <w:pPr>
        <w:pStyle w:val="style0"/>
        <w:spacing w:after="0" w:before="120"/>
        <w:contextualSpacing w:val="false"/>
        <w:jc w:val="both"/>
      </w:pPr>
      <w:r>
        <w:rPr>
          <w:rFonts w:cs="Tahoma"/>
          <w:b/>
          <w:bCs/>
        </w:rPr>
        <w:t>10. OPIS SPOSOBU PRZYGOTOWANIA OFERTY.</w:t>
      </w:r>
    </w:p>
    <w:p>
      <w:pPr>
        <w:pStyle w:val="style0"/>
        <w:jc w:val="both"/>
      </w:pPr>
      <w:r>
        <w:rPr>
          <w:rFonts w:cs="Tahoma"/>
          <w:b/>
          <w:bCs/>
          <w:color w:val="000000"/>
        </w:rPr>
        <w:t xml:space="preserve">10.1. </w:t>
      </w:r>
      <w:r>
        <w:rPr>
          <w:rFonts w:cs="Tahoma"/>
          <w:bCs/>
          <w:color w:val="000000"/>
        </w:rPr>
        <w:t>O</w:t>
      </w:r>
      <w:r>
        <w:rPr>
          <w:rFonts w:cs="Tahoma"/>
          <w:color w:val="000000"/>
        </w:rPr>
        <w:t>fertę stanowi wypełniony „Formularz ofertowy”, według wzoru stanowiącego załącznik nr 6 do siwz;</w:t>
      </w:r>
    </w:p>
    <w:p>
      <w:pPr>
        <w:pStyle w:val="style0"/>
        <w:jc w:val="both"/>
      </w:pPr>
      <w:r>
        <w:rPr>
          <w:rFonts w:cs="Tahoma"/>
          <w:b/>
          <w:bCs/>
          <w:color w:val="000000"/>
        </w:rPr>
        <w:t xml:space="preserve">10.2. </w:t>
      </w:r>
      <w:r>
        <w:rPr>
          <w:rFonts w:cs="Tahoma"/>
          <w:color w:val="000000"/>
        </w:rPr>
        <w:t xml:space="preserve">Do </w:t>
      </w:r>
      <w:r>
        <w:rPr>
          <w:rFonts w:cs="Tahoma"/>
        </w:rPr>
        <w:t>oferty należy dołączyć oświadczenia i dokumenty potwierdzające spełnianie warunków udziału w postępowaniu, wymienione w dziale 6 siwz.</w:t>
      </w:r>
    </w:p>
    <w:p>
      <w:pPr>
        <w:pStyle w:val="style0"/>
        <w:jc w:val="both"/>
      </w:pPr>
      <w:r>
        <w:rPr>
          <w:rFonts w:cs="Tahoma"/>
          <w:b/>
          <w:bCs/>
        </w:rPr>
        <w:t xml:space="preserve">10.3. </w:t>
      </w:r>
      <w:r>
        <w:rPr>
          <w:rFonts w:cs="Tahoma"/>
        </w:rPr>
        <w:t>Oferta musi być sporządzona w języku polskim, pismem czytelnym.</w:t>
      </w:r>
    </w:p>
    <w:p>
      <w:pPr>
        <w:pStyle w:val="style0"/>
        <w:jc w:val="both"/>
      </w:pPr>
      <w:r>
        <w:rPr>
          <w:rFonts w:cs="Tahoma"/>
          <w:b/>
          <w:bCs/>
        </w:rPr>
        <w:t xml:space="preserve">10.4. </w:t>
      </w:r>
      <w:r>
        <w:rPr>
          <w:rFonts w:cs="Tahoma"/>
        </w:rPr>
        <w:t>Oferta i wszystkie załączniki wymagają podpisu osób uprawnionych do reprezentowania wykonawcy w obrocie gospodarczym, zgodnie z aktem rejestracyjnym, wymaganiami ustawowymi oraz przepisami prawa.</w:t>
      </w:r>
    </w:p>
    <w:p>
      <w:pPr>
        <w:pStyle w:val="style0"/>
        <w:jc w:val="both"/>
      </w:pPr>
      <w:r>
        <w:rPr>
          <w:rFonts w:cs="Tahoma"/>
          <w:b/>
          <w:bCs/>
          <w:color w:val="000000"/>
        </w:rPr>
        <w:t xml:space="preserve">10.5. </w:t>
      </w:r>
      <w:r>
        <w:rPr>
          <w:rFonts w:cs="Tahoma"/>
          <w:color w:val="000000"/>
        </w:rPr>
        <w:t>Zobowiązanie i oświadczenie, o których mowa w punktach 5.2 i 6.4, wymagają podpisu osób uprawnionych do reprezentowania podmiotu udostępniającego zasoby, zgodnie z aktem rejestracyjnym, wymaganiami ustawowymi oraz przepisami prawa.</w:t>
      </w:r>
    </w:p>
    <w:p>
      <w:pPr>
        <w:pStyle w:val="style0"/>
        <w:jc w:val="both"/>
      </w:pPr>
      <w:r>
        <w:rPr>
          <w:rFonts w:cs="Tahoma"/>
          <w:b/>
          <w:bCs/>
          <w:color w:val="000000"/>
        </w:rPr>
        <w:t xml:space="preserve">10.6. </w:t>
      </w:r>
      <w:r>
        <w:rPr>
          <w:rFonts w:cs="Tahoma"/>
          <w:color w:val="000000"/>
        </w:rPr>
        <w:t>Jeżeli oferta i załączniki zostaną podpisane przez upoważnionego przedstawiciela wykonawcy, do oferty należy dołączyć właściwe umocowanie prawne.</w:t>
      </w:r>
    </w:p>
    <w:p>
      <w:pPr>
        <w:pStyle w:val="style0"/>
        <w:ind w:hanging="0" w:left="113" w:right="0"/>
        <w:jc w:val="both"/>
      </w:pPr>
      <w:r>
        <w:rPr>
          <w:rFonts w:cs="Tahoma"/>
          <w:b/>
        </w:rPr>
        <w:t xml:space="preserve">10.6.1. </w:t>
      </w:r>
      <w:r>
        <w:rPr>
          <w:rFonts w:cs="Tahoma"/>
        </w:rPr>
        <w:t>Jeżeli zobowiązania i dokumenty, o których mowa w punktach 5.2 i 6.2 siwz zostaną podpisane przez upoważnionego przedstawiciela podmiotu udostępniającego zasoby, do oferty należy dołączyć właściwe umocowanie prawne.</w:t>
      </w:r>
    </w:p>
    <w:p>
      <w:pPr>
        <w:pStyle w:val="style0"/>
        <w:ind w:hanging="0" w:left="113" w:right="0"/>
        <w:jc w:val="both"/>
      </w:pPr>
      <w:r>
        <w:rPr>
          <w:rFonts w:cs="Tahoma"/>
          <w:b/>
        </w:rPr>
        <w:t xml:space="preserve">10.6.2. </w:t>
      </w:r>
      <w:r>
        <w:rPr>
          <w:rFonts w:cs="Tahoma"/>
        </w:rPr>
        <w:t>W przypadku wykonawców wspólnie ubiegających się o udzielenie zamówienia, do oferty należy dołączyć dokument ustanawiający pełnomocnika do reprezentowania ich w postępowaniu o udzielenie zamówienia albo reprezentowania w postępowaniu i zawarcia umowy w sprawie zamówienia publicznego.</w:t>
      </w:r>
    </w:p>
    <w:p>
      <w:pPr>
        <w:pStyle w:val="style0"/>
        <w:jc w:val="both"/>
      </w:pPr>
      <w:r>
        <w:rPr>
          <w:rFonts w:cs="Tahoma"/>
          <w:b/>
          <w:bCs/>
        </w:rPr>
        <w:t xml:space="preserve">10.7. </w:t>
      </w:r>
      <w:r>
        <w:rPr>
          <w:rFonts w:cs="Tahoma"/>
        </w:rPr>
        <w:t>Wszystkie wymagane dokumenty muszą być złożone w oryginale lub kopii. Każda strona dokumentu złożonego w formie kopii musi być opatrzona klauzulą „za zgodność z oryginałem” i podpisana przez wykonawcę lub jego upełnomocnionego przedstawiciela. Taką samą formę winny posiadać dokumenty składane w trybie art. 26 ust. 3 pzp.</w:t>
      </w:r>
    </w:p>
    <w:p>
      <w:pPr>
        <w:pStyle w:val="style0"/>
        <w:jc w:val="both"/>
      </w:pPr>
      <w:r>
        <w:rPr>
          <w:rFonts w:cs="Tahoma"/>
          <w:b/>
          <w:bCs/>
        </w:rPr>
        <w:t xml:space="preserve">10.8. </w:t>
      </w:r>
      <w:r>
        <w:rPr>
          <w:rFonts w:cs="Tahoma"/>
        </w:rPr>
        <w:t>Dokumenty sporządzone w języku obcym muszą być złożone wraz z tłumaczeniem na język polski.</w:t>
      </w:r>
    </w:p>
    <w:p>
      <w:pPr>
        <w:pStyle w:val="style0"/>
        <w:jc w:val="both"/>
      </w:pPr>
      <w:r>
        <w:rPr>
          <w:rFonts w:cs="Tahoma"/>
          <w:b/>
          <w:bCs/>
        </w:rPr>
        <w:t xml:space="preserve">10.9. </w:t>
      </w:r>
      <w:r>
        <w:rPr>
          <w:rFonts w:cs="Tahoma"/>
        </w:rPr>
        <w:t>Zamawiający może żądać przedstawienia oryginału lub notarialnie poświadczonej kopii dokumentu, gdy złożona przez wykonawcę kopia dokumentu będzie nieczytelna lub będzie budzić wątpliwości co do jej prawdziwości.</w:t>
      </w:r>
    </w:p>
    <w:p>
      <w:pPr>
        <w:pStyle w:val="style0"/>
        <w:jc w:val="both"/>
      </w:pPr>
      <w:r>
        <w:rPr>
          <w:rFonts w:cs="Tahoma"/>
          <w:b/>
          <w:bCs/>
        </w:rPr>
        <w:t xml:space="preserve">10.10. </w:t>
      </w:r>
      <w:r>
        <w:rPr>
          <w:rFonts w:cs="Tahoma"/>
        </w:rPr>
        <w:t>Treść oferty musi odpowiadać treści specyfikacji istotnych warunków zamówienia.</w:t>
      </w:r>
    </w:p>
    <w:p>
      <w:pPr>
        <w:pStyle w:val="style0"/>
        <w:jc w:val="both"/>
      </w:pPr>
      <w:r>
        <w:rPr>
          <w:rFonts w:cs="Tahoma"/>
          <w:b/>
          <w:bCs/>
        </w:rPr>
        <w:t xml:space="preserve">10.11. </w:t>
      </w:r>
      <w:r>
        <w:rPr>
          <w:rFonts w:cs="Tahoma"/>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pPr>
        <w:pStyle w:val="style0"/>
        <w:jc w:val="both"/>
      </w:pPr>
      <w:r>
        <w:rPr>
          <w:rFonts w:cs="Tahoma"/>
          <w:b/>
          <w:bCs/>
        </w:rPr>
        <w:t xml:space="preserve">10.12. </w:t>
      </w:r>
      <w:r>
        <w:rPr>
          <w:rFonts w:cs="Tahoma"/>
        </w:rPr>
        <w:t>Zaleca się aby każda zapisana strona oferty była ponumerowana kolejnymi numerami, a w formularzu ofertowym winna być umieszczona informacja z ilu kolejno ponumerowanych stron składa się oferta wraz z załącznikami.</w:t>
      </w:r>
    </w:p>
    <w:p>
      <w:pPr>
        <w:pStyle w:val="style0"/>
        <w:jc w:val="both"/>
      </w:pPr>
      <w:r>
        <w:rPr>
          <w:rFonts w:cs="Tahoma"/>
          <w:b/>
          <w:bCs/>
        </w:rPr>
        <w:t xml:space="preserve">10.13. </w:t>
      </w:r>
      <w:r>
        <w:rPr>
          <w:rFonts w:cs="Tahoma"/>
        </w:rPr>
        <w:t>Kartki oferty winny być trwale ze sobą połączone (np. zbindowane, zszyte), z zastrzeżeniem sytuacji opisanej w punkcie 10.15.</w:t>
      </w:r>
    </w:p>
    <w:p>
      <w:pPr>
        <w:pStyle w:val="style0"/>
        <w:jc w:val="both"/>
      </w:pPr>
      <w:r>
        <w:rPr>
          <w:rFonts w:cs="Tahoma"/>
          <w:b/>
          <w:bCs/>
        </w:rPr>
        <w:t xml:space="preserve">10.14. </w:t>
      </w:r>
      <w:r>
        <w:rPr>
          <w:rFonts w:cs="Tahoma"/>
        </w:rPr>
        <w:t xml:space="preserve">Wszelkie zmiany w tekście oferty (poprawki, przekreślenia, dopiski) muszą być podpisane lub </w:t>
      </w:r>
      <w:r>
        <w:rPr>
          <w:rFonts w:cs="Tahoma"/>
          <w:color w:val="000000"/>
        </w:rPr>
        <w:t>parafowane przez wykonawcę; w przeciwnym wypadku nie będą uwzględniane.</w:t>
      </w:r>
    </w:p>
    <w:p>
      <w:pPr>
        <w:pStyle w:val="style0"/>
        <w:jc w:val="both"/>
      </w:pPr>
      <w:r>
        <w:rPr>
          <w:rFonts w:cs="Tahoma"/>
          <w:b/>
          <w:bCs/>
          <w:color w:val="000000"/>
        </w:rPr>
        <w:t xml:space="preserve">10.15. </w:t>
      </w:r>
      <w:r>
        <w:rPr>
          <w:rFonts w:cs="Tahoma"/>
          <w:color w:val="000000"/>
        </w:rPr>
        <w:t>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pzp.</w:t>
      </w:r>
    </w:p>
    <w:p>
      <w:pPr>
        <w:pStyle w:val="style0"/>
        <w:jc w:val="both"/>
      </w:pPr>
      <w:r>
        <w:rPr>
          <w:rFonts w:cs="Tahoma"/>
          <w:i/>
          <w:color w:val="000000"/>
          <w:u w:val="single"/>
        </w:rPr>
        <w:t>Uwaga:</w:t>
      </w:r>
      <w:r>
        <w:rPr>
          <w:rFonts w:cs="Tahoma"/>
          <w:color w:val="000000"/>
        </w:rPr>
        <w:t xml:space="preserve"> Ponieważ, zgodnie z wyrażoną w art. 8 ust. 1 pzp zasadą, postępowanie o udzielenie zamówienia publicznego jest jawne, zamawiający, na podstawie art. 8 ust. 3 pzp, żąda dołączenia do oferty uzasadnienia wyjątkowego charakteru zastrzeganych informacji oraz wyszczególnienia działań jakie zostały podjęte w celu zachowania ich poufności.</w:t>
      </w:r>
    </w:p>
    <w:p>
      <w:pPr>
        <w:pStyle w:val="style0"/>
        <w:jc w:val="both"/>
      </w:pPr>
      <w:r>
        <w:rPr>
          <w:rFonts w:cs="Tahoma"/>
          <w:b/>
          <w:bCs/>
          <w:color w:val="000000"/>
        </w:rPr>
        <w:t xml:space="preserve">10.16. </w:t>
      </w:r>
      <w:r>
        <w:rPr>
          <w:rFonts w:cs="Tahoma"/>
          <w:color w:val="000000"/>
        </w:rPr>
        <w:t xml:space="preserve">Ofertę należy umieścić w jednej zapieczętowanej lub w </w:t>
      </w:r>
      <w:r>
        <w:rPr>
          <w:rFonts w:cs="Tahoma"/>
        </w:rPr>
        <w:t>inny trwały sposób zabezpieczonej kopercie wewnętrznej oraz jednej nieprzeźroczystej kopercie zewnętrznej oznaczonej napisem „Oferta na usługi sprzątania obiektów i utrzymania terenów zielonych - XXIV-38/01/16” i adnotacją „Nie otwierać przed terminem otwarcia ofert”.</w:t>
      </w:r>
    </w:p>
    <w:p>
      <w:pPr>
        <w:pStyle w:val="style0"/>
        <w:jc w:val="both"/>
      </w:pPr>
      <w:r>
        <w:rPr>
          <w:rFonts w:cs="Tahoma"/>
          <w:i/>
          <w:u w:val="single"/>
        </w:rPr>
        <w:t>Uwaga:</w:t>
      </w:r>
      <w:r>
        <w:rPr>
          <w:rFonts w:cs="Tahoma"/>
        </w:rPr>
        <w:t xml:space="preserve"> Na zewnętrznej kopercie należy podać nazwę i adres wykonawcy aby umożliwić ewentualną zmianę, wycofanie bądź zwrot oferty w przypadku złożenia po terminie.</w:t>
      </w:r>
    </w:p>
    <w:p>
      <w:pPr>
        <w:pStyle w:val="style0"/>
        <w:jc w:val="both"/>
      </w:pPr>
      <w:r>
        <w:rPr>
          <w:rFonts w:cs="Tahoma"/>
          <w:b/>
          <w:bCs/>
        </w:rPr>
        <w:t xml:space="preserve">10.17. </w:t>
      </w:r>
      <w:r>
        <w:rPr>
          <w:rFonts w:cs="Tahoma"/>
        </w:rPr>
        <w:t>Przed upływem terminu do składania ofert wykonawca może zmienić lub wycofać ofertę. Oświadczenie o zmianie lub wycofaniu winno być doręczone zamawiającemu na piśmie przed upływem terminu składania ofert.</w:t>
      </w:r>
    </w:p>
    <w:p>
      <w:pPr>
        <w:pStyle w:val="style0"/>
        <w:jc w:val="both"/>
      </w:pPr>
      <w:r>
        <w:rPr>
          <w:rFonts w:cs="Tahoma"/>
          <w:b/>
          <w:bCs/>
        </w:rPr>
        <w:t xml:space="preserve">10.18. </w:t>
      </w:r>
      <w:r>
        <w:rPr>
          <w:rFonts w:cs="Tahoma"/>
        </w:rPr>
        <w:t>Wszelkie koszty związane z przygotowaniem i złożeniem oferty, niezależnie od wyniku postępowania, ponosi wykonawca.</w:t>
      </w:r>
    </w:p>
    <w:p>
      <w:pPr>
        <w:pStyle w:val="style0"/>
        <w:jc w:val="both"/>
      </w:pPr>
      <w:r>
        <w:rPr>
          <w:rFonts w:cs="Tahoma"/>
          <w:b/>
        </w:rPr>
        <w:t xml:space="preserve">10.19. </w:t>
      </w:r>
      <w:r>
        <w:rPr>
          <w:rFonts w:cs="Tahoma"/>
        </w:rPr>
        <w:t>Oferta musi uwzględniać ewentualne wyjaśnienia i zmiany treści specyfikacji istotnych warunków zamówienia, o których mowa w art. 38 ust. 1 i 4 pzp.</w:t>
      </w:r>
    </w:p>
    <w:p>
      <w:pPr>
        <w:pStyle w:val="style0"/>
        <w:spacing w:after="0" w:before="120"/>
        <w:contextualSpacing w:val="false"/>
        <w:jc w:val="both"/>
      </w:pPr>
      <w:r>
        <w:rPr>
          <w:rFonts w:cs="Tahoma"/>
          <w:b/>
          <w:bCs/>
        </w:rPr>
        <w:t>11. MIEJSCE ORAZ TERMIN SKŁADANIA I OTWARCIA OFERT.</w:t>
      </w:r>
    </w:p>
    <w:p>
      <w:pPr>
        <w:pStyle w:val="style0"/>
        <w:jc w:val="both"/>
      </w:pPr>
      <w:r>
        <w:rPr>
          <w:rFonts w:cs="Tahoma"/>
          <w:b/>
          <w:bCs/>
        </w:rPr>
        <w:t xml:space="preserve">11.1. </w:t>
      </w:r>
      <w:r>
        <w:rPr>
          <w:rFonts w:cs="Tahoma"/>
        </w:rPr>
        <w:t>Ofertę należy złożyć do dnia 11.02.2016 roku do godz. 11:00 w sekretariacie Polskiego Radia – Regionalnej Rozgłośni w Olsztynie „Radio Olsztyn” SA, 10-206 Olsztyn, ul. Radiowa 24.</w:t>
      </w:r>
    </w:p>
    <w:p>
      <w:pPr>
        <w:pStyle w:val="style0"/>
        <w:jc w:val="both"/>
      </w:pPr>
      <w:r>
        <w:rPr>
          <w:rFonts w:cs="Tahoma"/>
          <w:b/>
          <w:bCs/>
        </w:rPr>
        <w:t xml:space="preserve">11.2. </w:t>
      </w:r>
      <w:r>
        <w:rPr>
          <w:rFonts w:cs="Tahoma"/>
        </w:rPr>
        <w:t>Oferty złożone po wyznaczonym terminie zostaną niezwłocznie zwrócone wykonawcy.</w:t>
      </w:r>
    </w:p>
    <w:p>
      <w:pPr>
        <w:pStyle w:val="style0"/>
        <w:jc w:val="both"/>
      </w:pPr>
      <w:r>
        <w:rPr>
          <w:rFonts w:cs="Tahoma"/>
          <w:b/>
          <w:bCs/>
        </w:rPr>
        <w:t xml:space="preserve">11.3. </w:t>
      </w:r>
      <w:r>
        <w:rPr>
          <w:rFonts w:cs="Tahoma"/>
        </w:rPr>
        <w:t xml:space="preserve">Otwarcie ofert nastąpi w dniu 11.02.2016 r. o godz. 11:15 w sali konferencyjnej Polskiego </w:t>
      </w:r>
      <w:r>
        <w:rPr>
          <w:rFonts w:cs="Tahoma"/>
          <w:color w:val="000000"/>
        </w:rPr>
        <w:t>Radia – Regionalnej Rozgłośni w Olsztynie „Radio Olsztyn” SA, 10-206 Olsztyn, ul. Radiowa 24.</w:t>
      </w:r>
    </w:p>
    <w:p>
      <w:pPr>
        <w:pStyle w:val="style0"/>
        <w:jc w:val="both"/>
      </w:pPr>
      <w:r>
        <w:rPr>
          <w:rFonts w:cs="Tahoma"/>
          <w:b/>
          <w:bCs/>
          <w:color w:val="000000"/>
        </w:rPr>
        <w:t xml:space="preserve">11.4. </w:t>
      </w:r>
      <w:r>
        <w:rPr>
          <w:rFonts w:cs="Tahoma"/>
          <w:color w:val="000000"/>
        </w:rPr>
        <w:t>Podczas otwarcia ofert zamawiający poda nazwy i adresy wykonawców, informacje dotyczące ceny oferty oraz liczby etatów według punktu 4.3.1. formularza ofertowego.</w:t>
      </w:r>
    </w:p>
    <w:p>
      <w:pPr>
        <w:pStyle w:val="style0"/>
        <w:spacing w:after="0" w:before="120"/>
        <w:contextualSpacing w:val="false"/>
        <w:jc w:val="both"/>
      </w:pPr>
      <w:r>
        <w:rPr>
          <w:rFonts w:cs="Tahoma"/>
          <w:b/>
          <w:bCs/>
          <w:color w:val="000000"/>
        </w:rPr>
        <w:t>12. OPIS SPOSOBU OBLICZANIA CENY.</w:t>
      </w:r>
    </w:p>
    <w:p>
      <w:pPr>
        <w:pStyle w:val="style0"/>
        <w:jc w:val="both"/>
      </w:pPr>
      <w:r>
        <w:rPr>
          <w:rFonts w:cs="Tahoma"/>
          <w:b/>
          <w:bCs/>
        </w:rPr>
        <w:t xml:space="preserve">12.1. </w:t>
      </w:r>
      <w:r>
        <w:rPr>
          <w:rFonts w:cs="Tahoma"/>
        </w:rPr>
        <w:t>Cena oferty powinna uwzględniać łączne wynagrodzenie wykonawcy oraz wszelkie ewentualne podatki i opłaty (tzw. cena brutto) za cały okres objęty zamówieniem.</w:t>
      </w:r>
    </w:p>
    <w:p>
      <w:pPr>
        <w:pStyle w:val="style0"/>
        <w:jc w:val="both"/>
      </w:pPr>
      <w:r>
        <w:rPr>
          <w:rFonts w:cs="Tahoma"/>
          <w:b/>
          <w:bCs/>
        </w:rPr>
        <w:t xml:space="preserve">12.2. </w:t>
      </w:r>
      <w:r>
        <w:rPr>
          <w:rFonts w:cs="Tahoma"/>
        </w:rPr>
        <w:t>Cenę oferty należy podać w sposób przedstawiony w formularzu ofertowym (załącznik nr 6 do siwz).</w:t>
      </w:r>
    </w:p>
    <w:p>
      <w:pPr>
        <w:pStyle w:val="style0"/>
        <w:jc w:val="both"/>
      </w:pPr>
      <w:r>
        <w:rPr>
          <w:rFonts w:cs="Tahoma"/>
          <w:b/>
          <w:bCs/>
        </w:rPr>
        <w:t xml:space="preserve">12.3. </w:t>
      </w:r>
      <w:r>
        <w:rPr>
          <w:rFonts w:cs="Tahoma"/>
        </w:rPr>
        <w:t>Cena oferty musi być podana w złotych polskich.</w:t>
      </w:r>
    </w:p>
    <w:p>
      <w:pPr>
        <w:pStyle w:val="style0"/>
        <w:spacing w:after="0" w:before="120"/>
        <w:contextualSpacing w:val="false"/>
        <w:jc w:val="both"/>
      </w:pPr>
      <w:r>
        <w:rPr>
          <w:rFonts w:cs="Tahoma"/>
          <w:b/>
          <w:bCs/>
        </w:rPr>
        <w:t>13. OPIS KRYTERIÓW, KTÓRYMI ZAMAWIAJĄCY BĘDZIE SIĘ KIEROWAŁ PRZY WYBORZE OFERTY, WRAZ Z PODANIEM ZNACZENIA TYCH KRYTERIÓW I SPOSOBU OCENY OFERT.</w:t>
      </w:r>
    </w:p>
    <w:p>
      <w:pPr>
        <w:pStyle w:val="style0"/>
        <w:jc w:val="both"/>
      </w:pPr>
      <w:r>
        <w:rPr>
          <w:rFonts w:cs="Tahoma"/>
          <w:b/>
          <w:bCs/>
          <w:color w:val="000000"/>
        </w:rPr>
        <w:t xml:space="preserve">13.1. </w:t>
      </w:r>
      <w:r>
        <w:rPr>
          <w:rFonts w:cs="Tahoma"/>
          <w:color w:val="000000"/>
        </w:rPr>
        <w:t>Ocena ofert zostanie dokonana z uwzględnieniem dwóch kryteriów:</w:t>
      </w:r>
    </w:p>
    <w:p>
      <w:pPr>
        <w:pStyle w:val="style0"/>
        <w:numPr>
          <w:ilvl w:val="0"/>
          <w:numId w:val="28"/>
        </w:numPr>
        <w:ind w:hanging="360" w:left="454" w:right="0"/>
        <w:jc w:val="both"/>
      </w:pPr>
      <w:r>
        <w:rPr>
          <w:rFonts w:cs="Tahoma"/>
          <w:color w:val="000000"/>
        </w:rPr>
        <w:t>cena (brutto) oferty - 80 %,</w:t>
      </w:r>
    </w:p>
    <w:p>
      <w:pPr>
        <w:pStyle w:val="style0"/>
        <w:numPr>
          <w:ilvl w:val="0"/>
          <w:numId w:val="28"/>
        </w:numPr>
        <w:ind w:hanging="360" w:left="454" w:right="0"/>
        <w:jc w:val="both"/>
      </w:pPr>
      <w:r>
        <w:rPr>
          <w:rFonts w:cs="Tahoma"/>
        </w:rPr>
        <w:t>kryterium społeczne „zatrudnienie na podstawie umowy o pracę” - 20 %.</w:t>
      </w:r>
    </w:p>
    <w:p>
      <w:pPr>
        <w:pStyle w:val="style0"/>
        <w:jc w:val="both"/>
      </w:pPr>
      <w:r>
        <w:rPr>
          <w:rFonts w:cs="Tahoma"/>
          <w:i/>
          <w:u w:val="single"/>
        </w:rPr>
        <w:t>Uwaga:</w:t>
      </w:r>
      <w:r>
        <w:rPr>
          <w:rFonts w:cs="Tahoma"/>
        </w:rPr>
        <w:t xml:space="preserve"> </w:t>
      </w:r>
      <w:r>
        <w:rPr>
          <w:rFonts w:cs="Tahoma"/>
          <w:i/>
        </w:rPr>
        <w:t>Zatrudnienie na podstawie umowy o pracę osób realizujących zamówienie, nie jest obligatoryjne, natomiast stanowi jedno z kryteriów oceny ofert.</w:t>
      </w:r>
    </w:p>
    <w:p>
      <w:pPr>
        <w:pStyle w:val="style0"/>
        <w:spacing w:after="0" w:before="60"/>
        <w:contextualSpacing w:val="false"/>
        <w:jc w:val="both"/>
      </w:pPr>
      <w:r>
        <w:rPr>
          <w:rFonts w:cs="Tahoma"/>
          <w:b/>
          <w:bCs/>
          <w:color w:val="000000"/>
        </w:rPr>
        <w:t xml:space="preserve">13.2. </w:t>
      </w:r>
      <w:r>
        <w:rPr>
          <w:rFonts w:cs="Tahoma"/>
          <w:color w:val="000000"/>
        </w:rPr>
        <w:t>Za najkorzystniejszą zostanie uznana oferta, która uzyska najwyższą sumę punktów z dwóch wymienionych kryteriów:</w:t>
      </w:r>
    </w:p>
    <w:p>
      <w:pPr>
        <w:pStyle w:val="style0"/>
        <w:spacing w:after="0" w:before="60"/>
        <w:contextualSpacing w:val="false"/>
        <w:jc w:val="both"/>
      </w:pPr>
      <w:r>
        <w:rPr>
          <w:rFonts w:cs="Tahoma"/>
          <w:b/>
          <w:bCs/>
          <w:color w:val="000000"/>
        </w:rPr>
        <w:t>O</w:t>
      </w:r>
      <w:r>
        <w:rPr>
          <w:rFonts w:cs="Tahoma"/>
          <w:b/>
          <w:bCs/>
          <w:color w:val="000000"/>
          <w:vertAlign w:val="subscript"/>
        </w:rPr>
        <w:t xml:space="preserve">i  </w:t>
      </w:r>
      <w:r>
        <w:rPr>
          <w:rFonts w:cs="Tahoma"/>
          <w:b/>
          <w:bCs/>
          <w:color w:val="000000"/>
        </w:rPr>
        <w:t>= X</w:t>
      </w:r>
      <w:r>
        <w:rPr>
          <w:rFonts w:cs="Tahoma"/>
          <w:b/>
          <w:bCs/>
          <w:color w:val="000000"/>
          <w:vertAlign w:val="subscript"/>
        </w:rPr>
        <w:t xml:space="preserve">ic </w:t>
      </w:r>
      <w:r>
        <w:rPr>
          <w:rFonts w:cs="Tahoma"/>
          <w:b/>
          <w:bCs/>
          <w:color w:val="000000"/>
        </w:rPr>
        <w:t>+ X</w:t>
      </w:r>
      <w:r>
        <w:rPr>
          <w:rFonts w:cs="Tahoma"/>
          <w:b/>
          <w:bCs/>
          <w:color w:val="000000"/>
          <w:vertAlign w:val="subscript"/>
        </w:rPr>
        <w:t>ip</w:t>
      </w:r>
    </w:p>
    <w:p>
      <w:pPr>
        <w:pStyle w:val="style0"/>
        <w:jc w:val="both"/>
      </w:pPr>
      <w:r>
        <w:rPr>
          <w:rFonts w:eastAsia="Times New Roman"/>
          <w:color w:val="000000"/>
        </w:rPr>
        <w:t>przy czym:</w:t>
      </w:r>
    </w:p>
    <w:p>
      <w:pPr>
        <w:pStyle w:val="style0"/>
        <w:spacing w:after="120" w:before="120"/>
        <w:ind w:hanging="0" w:left="113" w:right="0"/>
        <w:contextualSpacing w:val="false"/>
        <w:jc w:val="both"/>
      </w:pPr>
      <w:r>
        <w:rPr>
          <w:b/>
          <w:bCs/>
          <w:color w:val="000000"/>
        </w:rPr>
        <w:t>O</w:t>
      </w:r>
      <w:r>
        <w:rPr>
          <w:b/>
          <w:bCs/>
          <w:color w:val="000000"/>
          <w:vertAlign w:val="subscript"/>
        </w:rPr>
        <w:t xml:space="preserve">i  </w:t>
      </w:r>
      <w:r>
        <w:rPr>
          <w:color w:val="000000"/>
        </w:rPr>
        <w:t>– suma punktów oferty numer „i”,</w:t>
      </w:r>
    </w:p>
    <w:p>
      <w:pPr>
        <w:pStyle w:val="style0"/>
        <w:ind w:hanging="0" w:left="113" w:right="0"/>
        <w:jc w:val="both"/>
      </w:pPr>
      <w:r>
        <w:rPr>
          <w:rFonts w:cs="Tahoma"/>
          <w:b/>
          <w:bCs/>
          <w:color w:val="000000"/>
        </w:rPr>
        <w:t>X</w:t>
      </w:r>
      <w:r>
        <w:rPr>
          <w:rFonts w:cs="Tahoma"/>
          <w:b/>
          <w:bCs/>
          <w:color w:val="000000"/>
          <w:vertAlign w:val="subscript"/>
        </w:rPr>
        <w:t>ic</w:t>
      </w:r>
      <w:r>
        <w:rPr>
          <w:rFonts w:cs="Tahoma"/>
          <w:b/>
          <w:bCs/>
          <w:color w:val="000000"/>
        </w:rPr>
        <w:t xml:space="preserve"> = (C</w:t>
      </w:r>
      <w:r>
        <w:rPr>
          <w:rFonts w:cs="Tahoma"/>
          <w:b/>
          <w:bCs/>
          <w:color w:val="000000"/>
          <w:vertAlign w:val="subscript"/>
        </w:rPr>
        <w:t xml:space="preserve">min </w:t>
      </w:r>
      <w:r>
        <w:rPr>
          <w:rFonts w:cs="Tahoma"/>
          <w:b/>
          <w:bCs/>
          <w:color w:val="000000"/>
        </w:rPr>
        <w:t>: C</w:t>
      </w:r>
      <w:r>
        <w:rPr>
          <w:rFonts w:cs="Tahoma"/>
          <w:b/>
          <w:bCs/>
          <w:color w:val="000000"/>
          <w:vertAlign w:val="subscript"/>
        </w:rPr>
        <w:t>i</w:t>
      </w:r>
      <w:r>
        <w:rPr>
          <w:rFonts w:cs="Tahoma"/>
          <w:b/>
          <w:bCs/>
          <w:color w:val="000000"/>
        </w:rPr>
        <w:t xml:space="preserve">) </w:t>
      </w:r>
      <w:r>
        <w:rPr>
          <w:rFonts w:cs="Tahoma"/>
          <w:b/>
          <w:bCs/>
          <w:color w:val="000000"/>
          <w:sz w:val="22"/>
          <w:szCs w:val="22"/>
        </w:rPr>
        <w:t>x</w:t>
      </w:r>
      <w:r>
        <w:rPr>
          <w:rFonts w:cs="Tahoma"/>
          <w:b/>
          <w:bCs/>
          <w:color w:val="000000"/>
        </w:rPr>
        <w:t xml:space="preserve"> 80</w:t>
      </w:r>
    </w:p>
    <w:p>
      <w:pPr>
        <w:pStyle w:val="style0"/>
        <w:ind w:hanging="0" w:left="113" w:right="0"/>
        <w:jc w:val="both"/>
      </w:pPr>
      <w:r>
        <w:rPr>
          <w:rFonts w:cs="Tahoma"/>
          <w:color w:val="000000"/>
        </w:rPr>
        <w:t>gdzie:</w:t>
      </w:r>
    </w:p>
    <w:p>
      <w:pPr>
        <w:pStyle w:val="style0"/>
        <w:ind w:hanging="0" w:left="340" w:right="0"/>
        <w:jc w:val="both"/>
      </w:pPr>
      <w:r>
        <w:rPr>
          <w:rFonts w:eastAsia="Times New Roman"/>
          <w:b/>
          <w:bCs/>
          <w:color w:val="000000"/>
        </w:rPr>
        <w:t>X</w:t>
      </w:r>
      <w:r>
        <w:rPr>
          <w:rFonts w:cs="Tahoma"/>
          <w:b/>
          <w:bCs/>
          <w:color w:val="000000"/>
          <w:vertAlign w:val="subscript"/>
        </w:rPr>
        <w:t>ic</w:t>
      </w:r>
      <w:r>
        <w:rPr>
          <w:rFonts w:cs="Tahoma"/>
          <w:color w:val="000000"/>
        </w:rPr>
        <w:t xml:space="preserve"> </w:t>
      </w:r>
      <w:r>
        <w:rPr>
          <w:rFonts w:cs="Tahoma"/>
          <w:color w:val="000000"/>
          <w:vertAlign w:val="subscript"/>
        </w:rPr>
        <w:t xml:space="preserve"> </w:t>
      </w:r>
      <w:r>
        <w:rPr>
          <w:rFonts w:cs="Tahoma"/>
          <w:color w:val="000000"/>
        </w:rPr>
        <w:t>– wartość punktowa, uzyskana przez ofertę nr „i” z oceny kryterium „cena (brutto) oferty”,</w:t>
      </w:r>
    </w:p>
    <w:p>
      <w:pPr>
        <w:pStyle w:val="style0"/>
        <w:ind w:hanging="0" w:left="340" w:right="0"/>
        <w:jc w:val="both"/>
      </w:pPr>
      <w:r>
        <w:rPr>
          <w:rFonts w:eastAsia="Times New Roman"/>
          <w:b/>
          <w:bCs/>
          <w:color w:val="000000"/>
        </w:rPr>
        <w:t>C</w:t>
      </w:r>
      <w:r>
        <w:rPr>
          <w:rFonts w:cs="Tahoma"/>
          <w:b/>
          <w:bCs/>
          <w:color w:val="000000"/>
          <w:vertAlign w:val="subscript"/>
        </w:rPr>
        <w:t>min</w:t>
      </w:r>
      <w:r>
        <w:rPr>
          <w:rFonts w:cs="Tahoma"/>
          <w:color w:val="000000"/>
          <w:vertAlign w:val="subscript"/>
        </w:rPr>
        <w:t xml:space="preserve"> </w:t>
      </w:r>
      <w:r>
        <w:rPr>
          <w:rFonts w:cs="Tahoma"/>
          <w:color w:val="000000"/>
        </w:rPr>
        <w:t>– najniższa cena (brutto) oferty,</w:t>
      </w:r>
    </w:p>
    <w:p>
      <w:pPr>
        <w:pStyle w:val="style0"/>
        <w:ind w:hanging="0" w:left="340" w:right="0"/>
        <w:jc w:val="both"/>
      </w:pPr>
      <w:r>
        <w:rPr>
          <w:rFonts w:eastAsia="Times New Roman"/>
          <w:b/>
          <w:bCs/>
          <w:color w:val="000000"/>
        </w:rPr>
        <w:t>C</w:t>
      </w:r>
      <w:r>
        <w:rPr>
          <w:b/>
          <w:bCs/>
          <w:color w:val="000000"/>
          <w:vertAlign w:val="subscript"/>
        </w:rPr>
        <w:t>i</w:t>
      </w:r>
      <w:r>
        <w:rPr>
          <w:color w:val="000000"/>
          <w:vertAlign w:val="subscript"/>
        </w:rPr>
        <w:t xml:space="preserve"> </w:t>
      </w:r>
      <w:r>
        <w:rPr>
          <w:color w:val="000000"/>
        </w:rPr>
        <w:t>– cena (brutto) rozpatrywanej oferty nr „i”.</w:t>
      </w:r>
    </w:p>
    <w:p>
      <w:pPr>
        <w:pStyle w:val="style0"/>
        <w:spacing w:after="0" w:before="120"/>
        <w:ind w:hanging="0" w:left="113" w:right="0"/>
        <w:contextualSpacing w:val="false"/>
        <w:jc w:val="both"/>
      </w:pPr>
      <w:r>
        <w:rPr>
          <w:rFonts w:cs="Tahoma"/>
          <w:b/>
          <w:bCs/>
          <w:color w:val="000000"/>
        </w:rPr>
        <w:t>X</w:t>
      </w:r>
      <w:r>
        <w:rPr>
          <w:rFonts w:cs="Tahoma"/>
          <w:b/>
          <w:bCs/>
          <w:color w:val="000000"/>
          <w:vertAlign w:val="subscript"/>
        </w:rPr>
        <w:t>ip</w:t>
      </w:r>
      <w:r>
        <w:rPr>
          <w:rFonts w:cs="Tahoma"/>
          <w:b/>
          <w:bCs/>
          <w:color w:val="000000"/>
        </w:rPr>
        <w:t xml:space="preserve"> - </w:t>
      </w:r>
      <w:r>
        <w:rPr>
          <w:rFonts w:cs="Tahoma"/>
          <w:color w:val="000000"/>
        </w:rPr>
        <w:t>wartość punktowa, uzyskana przez ofertę nr „i” z oceny kryterium społecznego „zatrudnienie na podstawie umowy o pracę”. Wartość ta zależy od łącznego wymiaru czasu pracy podanego w punkcie 4.3.1. formularza ofertowego, wyliczonego z dokładnością do dwóch miejsc po przecinku i wynosi:</w:t>
      </w:r>
    </w:p>
    <w:p>
      <w:pPr>
        <w:pStyle w:val="style39"/>
        <w:numPr>
          <w:ilvl w:val="0"/>
          <w:numId w:val="27"/>
        </w:numPr>
        <w:spacing w:after="0" w:before="60"/>
        <w:ind w:hanging="357" w:left="714" w:right="0"/>
        <w:contextualSpacing/>
        <w:jc w:val="both"/>
      </w:pPr>
      <w:r>
        <w:rPr>
          <w:rFonts w:cs="Tahoma"/>
          <w:color w:val="000000"/>
        </w:rPr>
        <w:t xml:space="preserve">do 0,24 etatu </w:t>
        <w:tab/>
        <w:tab/>
        <w:tab/>
        <w:t xml:space="preserve">– </w:t>
        <w:tab/>
        <w:t>0 pkt</w:t>
      </w:r>
    </w:p>
    <w:p>
      <w:pPr>
        <w:pStyle w:val="style39"/>
        <w:numPr>
          <w:ilvl w:val="0"/>
          <w:numId w:val="27"/>
        </w:numPr>
        <w:spacing w:after="0" w:before="170"/>
        <w:contextualSpacing/>
        <w:jc w:val="both"/>
      </w:pPr>
      <w:r>
        <w:rPr>
          <w:rFonts w:cs="Tahoma"/>
          <w:color w:val="000000"/>
        </w:rPr>
        <w:t xml:space="preserve">od 0,25 do 0,74 etatu </w:t>
        <w:tab/>
        <w:tab/>
        <w:t xml:space="preserve">– </w:t>
        <w:tab/>
        <w:t>5 pkt</w:t>
      </w:r>
    </w:p>
    <w:p>
      <w:pPr>
        <w:pStyle w:val="style39"/>
        <w:numPr>
          <w:ilvl w:val="0"/>
          <w:numId w:val="27"/>
        </w:numPr>
        <w:spacing w:after="0" w:before="170"/>
        <w:contextualSpacing/>
        <w:jc w:val="both"/>
      </w:pPr>
      <w:r>
        <w:rPr>
          <w:rFonts w:cs="Tahoma"/>
          <w:color w:val="000000"/>
        </w:rPr>
        <w:t xml:space="preserve">od 0,75 do 1,24 etatu </w:t>
        <w:tab/>
        <w:tab/>
        <w:t xml:space="preserve">– </w:t>
        <w:tab/>
        <w:t>10 pkt</w:t>
      </w:r>
    </w:p>
    <w:p>
      <w:pPr>
        <w:pStyle w:val="style39"/>
        <w:numPr>
          <w:ilvl w:val="0"/>
          <w:numId w:val="27"/>
        </w:numPr>
        <w:spacing w:after="0" w:before="170"/>
        <w:contextualSpacing/>
        <w:jc w:val="both"/>
      </w:pPr>
      <w:r>
        <w:rPr>
          <w:rFonts w:cs="Tahoma"/>
          <w:color w:val="000000"/>
        </w:rPr>
        <w:t xml:space="preserve">od 1,25 do 1,74 etatu </w:t>
        <w:tab/>
        <w:tab/>
        <w:t xml:space="preserve">– </w:t>
        <w:tab/>
        <w:t>15 pkt</w:t>
      </w:r>
    </w:p>
    <w:p>
      <w:pPr>
        <w:pStyle w:val="style39"/>
        <w:numPr>
          <w:ilvl w:val="0"/>
          <w:numId w:val="27"/>
        </w:numPr>
        <w:spacing w:after="0" w:before="170"/>
        <w:contextualSpacing/>
        <w:jc w:val="both"/>
      </w:pPr>
      <w:r>
        <w:rPr>
          <w:rFonts w:cs="Tahoma"/>
          <w:color w:val="000000"/>
        </w:rPr>
        <w:t xml:space="preserve">od 1,75 etatu </w:t>
        <w:tab/>
        <w:tab/>
        <w:tab/>
        <w:t xml:space="preserve">– </w:t>
        <w:tab/>
        <w:t>20 pkt</w:t>
      </w:r>
    </w:p>
    <w:p>
      <w:pPr>
        <w:pStyle w:val="style0"/>
        <w:spacing w:after="0" w:before="120"/>
        <w:contextualSpacing w:val="false"/>
        <w:jc w:val="both"/>
      </w:pPr>
      <w:r>
        <w:rPr>
          <w:rFonts w:cs="Tahoma"/>
          <w:b/>
          <w:bCs/>
        </w:rPr>
        <w:t>14. INFORMACJE O FORMALNOŚCIACH, JAKIE POWINNY ZOSTAĆ DOPEŁNIONE PO WYBORZE OFERTY W CELU ZAWARCIA UMOWY W SPRAWIE ZAMÓWIENIA PUBLICZNEGO.</w:t>
      </w:r>
    </w:p>
    <w:p>
      <w:pPr>
        <w:pStyle w:val="style0"/>
        <w:jc w:val="both"/>
      </w:pPr>
      <w:r>
        <w:rPr>
          <w:rFonts w:cs="Tahoma"/>
          <w:b/>
          <w:bCs/>
        </w:rPr>
        <w:t xml:space="preserve">14.1. </w:t>
      </w:r>
      <w:r>
        <w:rPr>
          <w:rFonts w:cs="Tahoma"/>
        </w:rPr>
        <w:t>O wyborze najkorzystniejszej oferty, w zakresie ujętym w art. 92 ust. 1 pzp, zamawiający zawiadomi niezwłocznie wykonawców, którzy ubiegali się o udzielenie zamówienia.</w:t>
      </w:r>
    </w:p>
    <w:p>
      <w:pPr>
        <w:pStyle w:val="style0"/>
        <w:jc w:val="both"/>
      </w:pPr>
      <w:r>
        <w:rPr>
          <w:rFonts w:cs="Tahoma"/>
          <w:b/>
          <w:bCs/>
        </w:rPr>
        <w:t xml:space="preserve">14.2. </w:t>
      </w:r>
      <w:r>
        <w:rPr>
          <w:rFonts w:cs="Tahoma"/>
        </w:rPr>
        <w:t>Zamawiający, na podstawie art. 94 ust. 1 pkt 2 pzp, w związku z pkt 7.2 siwz, zawrze umowę w terminie nie krótszym niż 5 dni od dnia przesłania, faksem lub drogą elektroniczną, zawiadomienia o wyborze oferty lub nie krótszym niż 10 dni, jeżeli zawiadomienie zostało przesłane w inny sposób.</w:t>
      </w:r>
    </w:p>
    <w:p>
      <w:pPr>
        <w:pStyle w:val="style0"/>
        <w:jc w:val="both"/>
      </w:pPr>
      <w:r>
        <w:rPr>
          <w:rFonts w:cs="Tahoma"/>
          <w:b/>
          <w:bCs/>
        </w:rPr>
        <w:t xml:space="preserve">14.3. </w:t>
      </w:r>
      <w:r>
        <w:rPr>
          <w:rFonts w:cs="Tahoma"/>
        </w:rPr>
        <w:t>Zamawiający może zawrzeć umowę przed upływem terminu, o którym mowa w punkcie 14.2, jeżeli w postępowaniu o udzielenie zamówienia zostanie złożona tylko jedna oferta bądź gdy w postępowaniu nie zostanie odrzucona żadna oferta oraz nie  zostanie wykluczony żaden wykonawca.</w:t>
      </w:r>
    </w:p>
    <w:p>
      <w:pPr>
        <w:pStyle w:val="style0"/>
        <w:jc w:val="both"/>
      </w:pPr>
      <w:r>
        <w:rPr>
          <w:rFonts w:cs="Tahoma"/>
          <w:b/>
          <w:bCs/>
        </w:rPr>
        <w:t xml:space="preserve">14.4. </w:t>
      </w:r>
      <w:r>
        <w:rPr>
          <w:rFonts w:cs="Tahoma"/>
        </w:rPr>
        <w:t>Jeżeli oferta najkorzystniejsza będzie ofertą wykonawców wspólnie ubiegających się o udzielenie zamówienia, zamawiający zażąda umowy regulującej współpracę tych wykonawców.</w:t>
      </w:r>
    </w:p>
    <w:p>
      <w:pPr>
        <w:pStyle w:val="style0"/>
        <w:spacing w:after="0" w:before="120"/>
        <w:contextualSpacing w:val="false"/>
        <w:jc w:val="both"/>
      </w:pPr>
      <w:r>
        <w:rPr>
          <w:rFonts w:cs="Tahoma"/>
          <w:b/>
          <w:bCs/>
        </w:rPr>
        <w:t>15. WYMAGANIA DOTYCZĄCE ZABEZPIECZENIA NALEŻYTEGO WYKONANIA UMOWY.</w:t>
      </w:r>
    </w:p>
    <w:p>
      <w:pPr>
        <w:pStyle w:val="style0"/>
        <w:jc w:val="both"/>
      </w:pPr>
      <w:r>
        <w:rPr>
          <w:rFonts w:cs="Tahoma"/>
        </w:rPr>
        <w:t>Zamawiający nie żąda zabezpieczenia należytego wykonania umowy.</w:t>
      </w:r>
    </w:p>
    <w:p>
      <w:pPr>
        <w:pStyle w:val="style0"/>
        <w:spacing w:after="0" w:before="120"/>
        <w:contextualSpacing w:val="false"/>
        <w:jc w:val="both"/>
      </w:pPr>
      <w:r>
        <w:rPr>
          <w:rFonts w:cs="Tahoma"/>
          <w:b/>
          <w:bCs/>
        </w:rPr>
        <w:t>16. WZÓR UMOWY – WARUNKI NA JAKICH ZAMAWIAJĄCY ZAWRZE UMOWĘ Z WYKONAWCĄ.</w:t>
      </w:r>
    </w:p>
    <w:p>
      <w:pPr>
        <w:pStyle w:val="style0"/>
        <w:jc w:val="both"/>
      </w:pPr>
      <w:r>
        <w:rPr>
          <w:rFonts w:cs="Tahoma"/>
          <w:b/>
        </w:rPr>
        <w:t xml:space="preserve">16.1. </w:t>
      </w:r>
      <w:r>
        <w:rPr>
          <w:rFonts w:cs="Tahoma"/>
        </w:rPr>
        <w:t>Umowa, która będzie podpisana w wyniku rozstrzygnięcia niniejszego postępowania o udzielenie zamówienia, będzie zawierała wszystkie zapisy podane we wzorze umowy, stanowiącym załącznik nr 7 do siwz, z uwzględnieniem treści oferty.</w:t>
      </w:r>
    </w:p>
    <w:p>
      <w:pPr>
        <w:pStyle w:val="style0"/>
        <w:widowControl/>
        <w:suppressAutoHyphens w:val="false"/>
        <w:jc w:val="both"/>
      </w:pPr>
      <w:r>
        <w:rPr>
          <w:rFonts w:cs="Palatino Linotype"/>
          <w:b/>
          <w:bCs/>
        </w:rPr>
        <w:t xml:space="preserve">16.2. </w:t>
      </w:r>
      <w:r>
        <w:rPr>
          <w:rFonts w:cs="Palatino Linotype"/>
          <w:bCs/>
        </w:rPr>
        <w:t xml:space="preserve">Zamawiający dopuszcza możliwość zmiany umowy w sprawie udzielenia niniejszego zamówienia publicznego. Zmiana umowy, </w:t>
      </w:r>
      <w:r>
        <w:rPr>
          <w:rFonts w:cs="Calibri"/>
        </w:rPr>
        <w:t>w formie pisemnego aneksu, jest możliwa w przypadku wystąpienia jednej z następujących okoliczności:</w:t>
      </w:r>
    </w:p>
    <w:p>
      <w:pPr>
        <w:pStyle w:val="style0"/>
        <w:widowControl/>
        <w:suppressAutoHyphens w:val="false"/>
        <w:ind w:hanging="425" w:left="851" w:right="0"/>
        <w:jc w:val="both"/>
      </w:pPr>
      <w:r>
        <w:rPr>
          <w:rFonts w:cs="Calibri"/>
        </w:rPr>
        <w:t>1)</w:t>
        <w:tab/>
        <w:t>zmiany stawki podatku od towarów i usług,</w:t>
      </w:r>
    </w:p>
    <w:p>
      <w:pPr>
        <w:pStyle w:val="style0"/>
        <w:widowControl/>
        <w:suppressAutoHyphens w:val="false"/>
        <w:ind w:hanging="425" w:left="851" w:right="0"/>
        <w:jc w:val="both"/>
      </w:pPr>
      <w:r>
        <w:rPr>
          <w:rFonts w:cs="Calibri"/>
        </w:rPr>
        <w:t>2)</w:t>
        <w:tab/>
        <w:t>zmiany wysokości minimalnego wynagrodzenia ustalonego na podstawie przepisów o minimalnym wynagrodzeniu za pracę,</w:t>
      </w:r>
    </w:p>
    <w:p>
      <w:pPr>
        <w:pStyle w:val="style0"/>
        <w:widowControl/>
        <w:suppressAutoHyphens w:val="false"/>
        <w:ind w:hanging="425" w:left="851" w:right="0"/>
        <w:jc w:val="both"/>
      </w:pPr>
      <w:r>
        <w:rPr>
          <w:rFonts w:cs="Calibri"/>
        </w:rPr>
        <w:t>3)</w:t>
        <w:tab/>
        <w:t>zmiany zasad podlegania ubezpieczeniom społecznym lub ubezpieczeniu zdrowotnemu lub wysokości stawki składki na ubezpieczenia społeczne lub zdrowotne</w:t>
      </w:r>
    </w:p>
    <w:p>
      <w:pPr>
        <w:pStyle w:val="style0"/>
        <w:widowControl/>
        <w:suppressAutoHyphens w:val="false"/>
        <w:ind w:hanging="0" w:left="426" w:right="0"/>
        <w:jc w:val="both"/>
      </w:pPr>
      <w:r>
        <w:rPr>
          <w:rFonts w:cs="Calibri"/>
        </w:rPr>
        <w:t>- jeżeli zmiany te będą miały wpływ na koszty wykonania umowy przez wykonawcę.</w:t>
      </w:r>
    </w:p>
    <w:p>
      <w:pPr>
        <w:pStyle w:val="style0"/>
        <w:widowControl/>
        <w:suppressAutoHyphens w:val="false"/>
        <w:jc w:val="both"/>
      </w:pPr>
      <w:r>
        <w:rPr>
          <w:rFonts w:cs="Calibri"/>
        </w:rPr>
        <w:t>Szczegółowe regulacje dotyczące możliwości zmiany umowy zawiera § 9 wzoru umowy, stanowiącego załącznik nr 7 do siwz.</w:t>
      </w:r>
    </w:p>
    <w:p>
      <w:pPr>
        <w:pStyle w:val="style0"/>
        <w:spacing w:after="0" w:before="120"/>
        <w:contextualSpacing w:val="false"/>
        <w:jc w:val="both"/>
      </w:pPr>
      <w:r>
        <w:rPr>
          <w:rFonts w:cs="Tahoma"/>
          <w:b/>
          <w:bCs/>
        </w:rPr>
        <w:t>17. POUCZENIE O ŚRODKACH OCHRONY PRAWNEJ PRZYSŁUGUJĄCYCH WYKONAWCY W TOKU POSTĘPOWANIA O UDZIELENIE ZAMÓWIENIA.</w:t>
      </w:r>
    </w:p>
    <w:p>
      <w:pPr>
        <w:pStyle w:val="style0"/>
        <w:jc w:val="both"/>
      </w:pPr>
      <w:r>
        <w:rPr>
          <w:rFonts w:cs="Tahoma"/>
          <w:b/>
          <w:bCs/>
        </w:rPr>
        <w:t xml:space="preserve">17.1. </w:t>
      </w:r>
      <w:r>
        <w:rPr>
          <w:rFonts w:cs="Tahoma"/>
        </w:rPr>
        <w:t>Środki ochrony prawnej przysługują wykonawcy, a także innemu podmiotowi, jeżeli ma lub miał interes w uzyskaniu niniejszego zamówienia oraz poniósł lub może ponieść szkodę w wyniku naruszenia przez zamawiającego przepisów pzp.</w:t>
      </w:r>
    </w:p>
    <w:p>
      <w:pPr>
        <w:pStyle w:val="style0"/>
        <w:jc w:val="both"/>
      </w:pPr>
      <w:r>
        <w:rPr>
          <w:rFonts w:cs="Tahoma"/>
          <w:b/>
          <w:bCs/>
        </w:rPr>
        <w:t xml:space="preserve">17.2. </w:t>
      </w:r>
      <w:r>
        <w:rPr>
          <w:rFonts w:cs="Tahoma"/>
        </w:rPr>
        <w:t>Środki ochrony prawnej wobec ogłoszenia o zamówieniu oraz specyfikacji istotnych warunków zamówienia przysługują również organizacjom wpisanym na listę, o której mowa w art. 154 pkt 5 pzp.</w:t>
      </w:r>
    </w:p>
    <w:p>
      <w:pPr>
        <w:pStyle w:val="style0"/>
        <w:jc w:val="both"/>
      </w:pPr>
      <w:r>
        <w:rPr>
          <w:rFonts w:cs="Tahoma"/>
          <w:b/>
          <w:bCs/>
        </w:rPr>
        <w:t xml:space="preserve">17.3. </w:t>
      </w:r>
      <w:r>
        <w:rPr>
          <w:rFonts w:cs="Tahoma"/>
        </w:rPr>
        <w:t>W niniejszym postępowaniu, wobec czynności:</w:t>
      </w:r>
    </w:p>
    <w:p>
      <w:pPr>
        <w:pStyle w:val="style0"/>
        <w:numPr>
          <w:ilvl w:val="0"/>
          <w:numId w:val="3"/>
        </w:numPr>
        <w:ind w:hanging="360" w:left="720" w:right="0"/>
        <w:jc w:val="both"/>
      </w:pPr>
      <w:r>
        <w:rPr>
          <w:rFonts w:cs="Tahoma"/>
        </w:rPr>
        <w:t>1) opisu sposobu dokonywania oceny spełniania warunków udziału w postępowaniu;</w:t>
      </w:r>
    </w:p>
    <w:p>
      <w:pPr>
        <w:pStyle w:val="style0"/>
        <w:numPr>
          <w:ilvl w:val="0"/>
          <w:numId w:val="3"/>
        </w:numPr>
        <w:ind w:hanging="360" w:left="720" w:right="0"/>
        <w:jc w:val="both"/>
      </w:pPr>
      <w:r>
        <w:rPr>
          <w:rFonts w:cs="Tahoma"/>
        </w:rPr>
        <w:t>2) wykluczenia odwołującego z postępowania o udzielenie zamówienia;</w:t>
      </w:r>
    </w:p>
    <w:p>
      <w:pPr>
        <w:pStyle w:val="style0"/>
        <w:numPr>
          <w:ilvl w:val="0"/>
          <w:numId w:val="3"/>
        </w:numPr>
        <w:ind w:hanging="360" w:left="720" w:right="0"/>
        <w:jc w:val="both"/>
      </w:pPr>
      <w:r>
        <w:rPr>
          <w:rFonts w:cs="Tahoma"/>
        </w:rPr>
        <w:t>3) odrzucenia oferty odwołującego;</w:t>
      </w:r>
    </w:p>
    <w:p>
      <w:pPr>
        <w:pStyle w:val="style0"/>
        <w:jc w:val="both"/>
      </w:pPr>
      <w:r>
        <w:rPr>
          <w:rFonts w:cs="Tahoma"/>
        </w:rPr>
        <w:t>przysługuje odwołanie.</w:t>
      </w:r>
    </w:p>
    <w:p>
      <w:pPr>
        <w:pStyle w:val="style0"/>
        <w:jc w:val="both"/>
      </w:pPr>
      <w:r>
        <w:rPr>
          <w:rFonts w:cs="Tahoma"/>
          <w:b/>
          <w:bCs/>
        </w:rPr>
        <w:t xml:space="preserve">17.4. </w:t>
      </w:r>
      <w:r>
        <w:rPr>
          <w:rFonts w:cs="Tahoma"/>
        </w:rPr>
        <w:t>Odwołanie powinno wskazywać czynność lub zaniechanie czynności, której zarzuca się niezgodność z przepisami ustawy, zawierać zwięzłe przedstawienie zarzutów, określać żądanie oraz wskazywać okoliczności faktyczne i prawne uzasadniające wniesienie odwołania.</w:t>
      </w:r>
    </w:p>
    <w:p>
      <w:pPr>
        <w:pStyle w:val="style0"/>
        <w:jc w:val="both"/>
      </w:pPr>
      <w:r>
        <w:rPr>
          <w:rFonts w:cs="Tahoma"/>
          <w:b/>
          <w:bCs/>
        </w:rPr>
        <w:t xml:space="preserve">17.5. </w:t>
      </w:r>
      <w:r>
        <w:rPr>
          <w:rFonts w:cs="Tahoma"/>
        </w:rPr>
        <w:t>Odwołanie wnosi się do Prezesa Krajowej Izby Odwoławczej (02-676 Warszawa, ul. Postępu 17a), w formie pisemnej albo elektronicznej opatrzonej bezpiecznym podpisem elektronicznym weryfikowanym za pomocą ważnego kwalifikowanego certyfikatu.</w:t>
      </w:r>
    </w:p>
    <w:p>
      <w:pPr>
        <w:pStyle w:val="style0"/>
        <w:jc w:val="both"/>
      </w:pPr>
      <w:r>
        <w:rPr>
          <w:rFonts w:cs="Tahoma"/>
          <w:b/>
          <w:bCs/>
        </w:rPr>
        <w:t xml:space="preserve">17.6. </w:t>
      </w:r>
      <w:r>
        <w:rPr>
          <w:rFonts w:cs="Tahom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pzp, czyli faksem lub drogą elektroniczną.</w:t>
      </w:r>
    </w:p>
    <w:p>
      <w:pPr>
        <w:pStyle w:val="style0"/>
        <w:jc w:val="both"/>
      </w:pPr>
      <w:r>
        <w:rPr>
          <w:rFonts w:cs="Tahoma"/>
          <w:b/>
          <w:bCs/>
        </w:rPr>
        <w:t xml:space="preserve">17.7. </w:t>
      </w:r>
      <w:r>
        <w:rPr>
          <w:rFonts w:cs="Tahoma"/>
        </w:rPr>
        <w:t>Wykonawca może w terminie przewidzianym do wniesienia odwołania poinformować zamawiającego o niezgodnej z przepisami pzp czynności podjętej przez niego lub zaniechaniu czynności, do której jest on zobowiązany na podstawie pzp, innej niż wymienione w punkcie 17.3 siwz.</w:t>
      </w:r>
    </w:p>
    <w:p>
      <w:pPr>
        <w:pStyle w:val="style0"/>
        <w:jc w:val="both"/>
      </w:pPr>
      <w:r>
        <w:rPr>
          <w:rFonts w:cs="Tahoma"/>
          <w:b/>
          <w:bCs/>
        </w:rPr>
        <w:t xml:space="preserve">17.8. </w:t>
      </w:r>
      <w:r>
        <w:rPr>
          <w:rFonts w:cs="Tahoma"/>
        </w:rPr>
        <w:t>Odwołanie wobec czynności wykluczenia odwołującego z postępowania o udzielenie zamówienia bądź odrzucenia oferty odwołującego (pkt 17.3 ppkt 2 i 3 siwz) wnosi się w terminie 5 dni od dnia przesłania informacji o czynności zamawiającego stanowiącej podstawę jego wniesienia – jeżeli została przesłana faksem lub drogą elektroniczną, albo w terminie 10 dni – jeżeli została przesłana w inny sposób.</w:t>
      </w:r>
    </w:p>
    <w:p>
      <w:pPr>
        <w:pStyle w:val="style0"/>
        <w:jc w:val="both"/>
      </w:pPr>
      <w:r>
        <w:rPr>
          <w:rFonts w:cs="Tahoma"/>
          <w:b/>
          <w:bCs/>
        </w:rPr>
        <w:t xml:space="preserve">17.9. </w:t>
      </w:r>
      <w:r>
        <w:rPr>
          <w:rFonts w:cs="Tahoma"/>
        </w:rPr>
        <w:t>Odwołanie wobec opisu sposobu dokonywania oceny spełniania warunków udziału w postępowaniu (pkt 17.3 ppkt 1 siwz) wnosi się w terminie 5 dni od dnia zamieszczenia ogłoszenia o zamówieniu w Biuletynie Zamówień Publicznych lub specyfikacji istotnych warunków zamówienia na stronie internetowej.</w:t>
      </w:r>
    </w:p>
    <w:p>
      <w:pPr>
        <w:pStyle w:val="style0"/>
        <w:jc w:val="both"/>
      </w:pPr>
      <w:r>
        <w:rPr>
          <w:rFonts w:cs="Tahoma"/>
          <w:b/>
          <w:bCs/>
        </w:rPr>
        <w:t xml:space="preserve">17.10. </w:t>
      </w:r>
      <w:r>
        <w:rPr>
          <w:rFonts w:cs="Tahoma"/>
        </w:rPr>
        <w:t>Szczegółowe regulacje dotyczące ochrony prawnej w postępowaniu zawiera dział VI pzp.</w:t>
      </w:r>
    </w:p>
    <w:p>
      <w:pPr>
        <w:pStyle w:val="style0"/>
        <w:spacing w:after="0" w:before="120"/>
        <w:contextualSpacing w:val="false"/>
        <w:jc w:val="both"/>
      </w:pPr>
      <w:r>
        <w:rPr>
          <w:rFonts w:cs="Tahoma"/>
          <w:b/>
          <w:bCs/>
        </w:rPr>
        <w:t>18. ZAMÓWIENIA UZUPEŁNIAJĄCE.</w:t>
      </w:r>
    </w:p>
    <w:p>
      <w:pPr>
        <w:pStyle w:val="style0"/>
        <w:jc w:val="both"/>
      </w:pPr>
      <w:r>
        <w:rPr>
          <w:rFonts w:cs="Tahoma"/>
        </w:rPr>
        <w:t>Zamawiający nie przewiduje udzielania zamówień uzupełniających.</w:t>
      </w:r>
    </w:p>
    <w:p>
      <w:pPr>
        <w:pStyle w:val="style0"/>
        <w:spacing w:after="0" w:before="120"/>
        <w:contextualSpacing w:val="false"/>
        <w:jc w:val="both"/>
      </w:pPr>
      <w:r>
        <w:rPr>
          <w:rFonts w:cs="Tahoma"/>
          <w:b/>
          <w:bCs/>
        </w:rPr>
        <w:t>19.OFERTY WARIANTOWE.</w:t>
      </w:r>
    </w:p>
    <w:p>
      <w:pPr>
        <w:pStyle w:val="style0"/>
        <w:jc w:val="both"/>
      </w:pPr>
      <w:r>
        <w:rPr>
          <w:rFonts w:cs="Tahoma"/>
        </w:rPr>
        <w:t>Zamawiający nie dopuszcza składania ofert wariantowych.</w:t>
      </w:r>
    </w:p>
    <w:p>
      <w:pPr>
        <w:pStyle w:val="style0"/>
        <w:spacing w:after="0" w:before="120"/>
        <w:contextualSpacing w:val="false"/>
        <w:jc w:val="both"/>
      </w:pPr>
      <w:r>
        <w:rPr>
          <w:rFonts w:cs="Tahoma"/>
          <w:b/>
          <w:bCs/>
        </w:rPr>
        <w:t>20. ZAŁĄCZNIKI DO SIWZ.</w:t>
      </w:r>
    </w:p>
    <w:p>
      <w:pPr>
        <w:pStyle w:val="style0"/>
        <w:jc w:val="both"/>
      </w:pPr>
      <w:r>
        <w:rPr>
          <w:rFonts w:cs="Tahoma"/>
        </w:rPr>
        <w:t xml:space="preserve">Załącznik nr 1: Oświadczenie w zakresie art. 22 ust. 1 pzp. – </w:t>
      </w:r>
      <w:r>
        <w:rPr>
          <w:rFonts w:cs="Tahoma"/>
          <w:i/>
          <w:iCs/>
        </w:rPr>
        <w:t>wzór</w:t>
      </w:r>
    </w:p>
    <w:p>
      <w:pPr>
        <w:pStyle w:val="style0"/>
        <w:jc w:val="both"/>
      </w:pPr>
      <w:r>
        <w:rPr>
          <w:rFonts w:cs="Tahoma"/>
        </w:rPr>
        <w:t>Załącznik nr 2: Wykaz usług sprzątania –</w:t>
      </w:r>
      <w:r>
        <w:rPr>
          <w:rFonts w:cs="Tahoma"/>
          <w:i/>
          <w:iCs/>
        </w:rPr>
        <w:t xml:space="preserve"> wzór</w:t>
      </w:r>
    </w:p>
    <w:p>
      <w:pPr>
        <w:pStyle w:val="style0"/>
        <w:jc w:val="both"/>
      </w:pPr>
      <w:r>
        <w:rPr>
          <w:rFonts w:cs="Tahoma"/>
        </w:rPr>
        <w:t>Załącznik nr 3: Wykaz usług utrzymania terenów zielonych –</w:t>
      </w:r>
      <w:r>
        <w:rPr>
          <w:rFonts w:cs="Tahoma"/>
          <w:i/>
          <w:iCs/>
        </w:rPr>
        <w:t xml:space="preserve"> wzór</w:t>
      </w:r>
    </w:p>
    <w:p>
      <w:pPr>
        <w:pStyle w:val="style0"/>
        <w:jc w:val="both"/>
      </w:pPr>
      <w:r>
        <w:rPr>
          <w:rFonts w:cs="Tahoma"/>
        </w:rPr>
        <w:t xml:space="preserve">Załącznik nr 4: Oświadczenie wykonawcy w zakresie art. 24 ust. 1 pzp – </w:t>
      </w:r>
      <w:r>
        <w:rPr>
          <w:rFonts w:cs="Tahoma"/>
          <w:i/>
          <w:iCs/>
        </w:rPr>
        <w:t>wzór</w:t>
      </w:r>
    </w:p>
    <w:p>
      <w:pPr>
        <w:pStyle w:val="style0"/>
        <w:jc w:val="both"/>
      </w:pPr>
      <w:r>
        <w:rPr>
          <w:rFonts w:cs="Tahoma"/>
          <w:iCs/>
        </w:rPr>
        <w:t xml:space="preserve">Załącznik nr 5: Informacja dotycząca przynależności do grupy kapitałowej </w:t>
      </w:r>
      <w:r>
        <w:rPr>
          <w:rFonts w:cs="Tahoma"/>
        </w:rPr>
        <w:t>–</w:t>
      </w:r>
      <w:r>
        <w:rPr>
          <w:rFonts w:cs="Tahoma"/>
          <w:iCs/>
        </w:rPr>
        <w:t xml:space="preserve"> </w:t>
      </w:r>
      <w:r>
        <w:rPr>
          <w:rFonts w:cs="Tahoma"/>
          <w:i/>
          <w:iCs/>
        </w:rPr>
        <w:t>wzór</w:t>
      </w:r>
    </w:p>
    <w:p>
      <w:pPr>
        <w:pStyle w:val="style0"/>
        <w:jc w:val="both"/>
      </w:pPr>
      <w:r>
        <w:rPr>
          <w:rFonts w:cs="Tahoma"/>
        </w:rPr>
        <w:t xml:space="preserve">Załącznik nr 6: Formularz ofertowy – </w:t>
      </w:r>
      <w:r>
        <w:rPr>
          <w:rFonts w:cs="Tahoma"/>
          <w:i/>
          <w:iCs/>
        </w:rPr>
        <w:t>wzór</w:t>
      </w:r>
    </w:p>
    <w:p>
      <w:pPr>
        <w:pStyle w:val="style0"/>
        <w:jc w:val="both"/>
      </w:pPr>
      <w:r>
        <w:rPr>
          <w:rFonts w:cs="Tahoma"/>
        </w:rPr>
        <w:t xml:space="preserve">Załącznik nr 7: Umowa – </w:t>
      </w:r>
      <w:r>
        <w:rPr>
          <w:rFonts w:cs="Tahoma"/>
          <w:i/>
          <w:iCs/>
        </w:rPr>
        <w:t>wzór</w:t>
      </w:r>
    </w:p>
    <w:p>
      <w:pPr>
        <w:sectPr>
          <w:footerReference r:id="rId8" w:type="default"/>
          <w:type w:val="nextPage"/>
          <w:pgSz w:h="16838" w:w="11906"/>
          <w:pgMar w:bottom="1648" w:footer="1134" w:gutter="0" w:header="0" w:left="1134" w:right="1134" w:top="1134"/>
          <w:pgNumType w:fmt="decimal"/>
          <w:formProt w:val="false"/>
          <w:textDirection w:val="lrTb"/>
          <w:docGrid w:charSpace="0" w:linePitch="360" w:type="default"/>
        </w:sectPr>
        <w:pStyle w:val="style0"/>
        <w:jc w:val="both"/>
      </w:pPr>
      <w:r>
        <w:rPr>
          <w:rFonts w:cs="Tahoma"/>
          <w:i/>
          <w:iCs/>
        </w:rPr>
      </w:r>
    </w:p>
    <w:p>
      <w:pPr>
        <w:pStyle w:val="style0"/>
      </w:pPr>
      <w:r>
        <w:rPr>
          <w:rFonts w:cs="Tahoma"/>
          <w:b/>
          <w:bCs/>
        </w:rPr>
        <w:t>XXIV-38/01/16</w:t>
      </w:r>
      <w:r>
        <w:rPr>
          <w:rFonts w:cs="Tahoma"/>
        </w:rPr>
        <w:tab/>
        <w:tab/>
        <w:tab/>
        <w:tab/>
        <w:tab/>
        <w:tab/>
        <w:tab/>
      </w:r>
      <w:r>
        <w:rPr>
          <w:rFonts w:cs="Tahoma"/>
          <w:b/>
          <w:bCs/>
          <w:i/>
          <w:iCs/>
        </w:rPr>
        <w:t>ZAŁĄCZNIK NR 1 DO SIWZ</w:t>
      </w:r>
    </w:p>
    <w:p>
      <w:pPr>
        <w:pStyle w:val="style0"/>
      </w:pPr>
      <w:r>
        <w:rPr>
          <w:rFonts w:cs="Tahoma"/>
          <w:b/>
          <w:bCs/>
          <w:i/>
          <w:iCs/>
        </w:rPr>
      </w:r>
    </w:p>
    <w:p>
      <w:pPr>
        <w:pStyle w:val="style0"/>
      </w:pPr>
      <w:r>
        <w:rPr>
          <w:rFonts w:cs="Tahoma"/>
          <w:b/>
          <w:bCs/>
        </w:rPr>
        <w:t xml:space="preserve">OŚWIADCZENIE w zakresie art. 22 ust. 1 pzp. - </w:t>
      </w:r>
      <w:r>
        <w:rPr>
          <w:rFonts w:cs="Tahoma"/>
          <w:i/>
          <w:iCs/>
        </w:rPr>
        <w:t>wzór</w:t>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rPr>
        <w:t>..................................................................</w:t>
      </w:r>
    </w:p>
    <w:p>
      <w:pPr>
        <w:pStyle w:val="style0"/>
      </w:pPr>
      <w:r>
        <w:rPr>
          <w:rFonts w:cs="Tahoma"/>
        </w:rPr>
        <w:tab/>
        <w:tab/>
      </w:r>
      <w:r>
        <w:rPr>
          <w:rFonts w:cs="Tahoma"/>
          <w:i/>
          <w:iCs/>
          <w:sz w:val="20"/>
          <w:szCs w:val="20"/>
        </w:rPr>
        <w:t>pieczęć Wykonawcy</w:t>
      </w:r>
    </w:p>
    <w:p>
      <w:pPr>
        <w:pStyle w:val="style0"/>
      </w:pPr>
      <w:r>
        <w:rPr>
          <w:rFonts w:cs="Tahoma"/>
          <w:i/>
          <w:iCs/>
          <w:sz w:val="20"/>
          <w:szCs w:val="20"/>
        </w:rPr>
      </w:r>
    </w:p>
    <w:p>
      <w:pPr>
        <w:pStyle w:val="style0"/>
      </w:pPr>
      <w:r>
        <w:rPr>
          <w:rFonts w:cs="Tahoma"/>
        </w:rPr>
      </w:r>
    </w:p>
    <w:p>
      <w:pPr>
        <w:pStyle w:val="style0"/>
        <w:jc w:val="both"/>
      </w:pPr>
      <w:r>
        <w:rPr>
          <w:rFonts w:cs="Tahoma"/>
        </w:rPr>
        <w:t>Składając ofertę w postępowaniu o udzielenie zamówienia publicznego prowadzonym w trybie przetargu nieograniczonego na usługi sprzątania obiektów i utrzymania terenów zielonych (znak sprawy: XXIV-38/01/16) oświadczamy, że spełniamy warunki udziału w postępowaniu dotyczące:</w:t>
      </w:r>
    </w:p>
    <w:p>
      <w:pPr>
        <w:pStyle w:val="style0"/>
        <w:jc w:val="both"/>
      </w:pPr>
      <w:r>
        <w:rPr>
          <w:rFonts w:cs="Tahoma"/>
        </w:rPr>
      </w:r>
    </w:p>
    <w:p>
      <w:pPr>
        <w:pStyle w:val="style0"/>
        <w:jc w:val="both"/>
      </w:pPr>
      <w:r>
        <w:rPr>
          <w:rFonts w:cs="Tahoma"/>
          <w:b/>
          <w:bCs/>
        </w:rPr>
        <w:t xml:space="preserve">1. </w:t>
      </w:r>
      <w:r>
        <w:rPr>
          <w:rFonts w:cs="Tahoma"/>
        </w:rPr>
        <w:t>Posiadania uprawnień do wykonywania określonej działalności lub czynności, jeżeli przepisy prawa nakładają obowiązek ich posiadania;</w:t>
      </w:r>
    </w:p>
    <w:p>
      <w:pPr>
        <w:pStyle w:val="style0"/>
        <w:jc w:val="both"/>
      </w:pPr>
      <w:r>
        <w:rPr>
          <w:rFonts w:cs="Tahoma"/>
        </w:rPr>
      </w:r>
    </w:p>
    <w:p>
      <w:pPr>
        <w:pStyle w:val="style0"/>
        <w:jc w:val="both"/>
      </w:pPr>
      <w:r>
        <w:rPr>
          <w:rFonts w:cs="Tahoma"/>
          <w:b/>
          <w:bCs/>
        </w:rPr>
        <w:t xml:space="preserve">2. </w:t>
      </w:r>
      <w:r>
        <w:rPr>
          <w:rFonts w:cs="Tahoma"/>
        </w:rPr>
        <w:t>Posiadania  wiedzy i doświadczenia;</w:t>
      </w:r>
    </w:p>
    <w:p>
      <w:pPr>
        <w:pStyle w:val="style0"/>
        <w:jc w:val="both"/>
      </w:pPr>
      <w:r>
        <w:rPr>
          <w:rFonts w:cs="Tahoma"/>
        </w:rPr>
      </w:r>
    </w:p>
    <w:p>
      <w:pPr>
        <w:pStyle w:val="style0"/>
        <w:jc w:val="both"/>
      </w:pPr>
      <w:r>
        <w:rPr>
          <w:rFonts w:cs="Tahoma"/>
          <w:b/>
          <w:bCs/>
        </w:rPr>
        <w:t xml:space="preserve">3. </w:t>
      </w:r>
      <w:r>
        <w:rPr>
          <w:rFonts w:cs="Tahoma"/>
        </w:rPr>
        <w:t>Dysponowania odpowiednim potencjałem technicznym oraz osobami zdolnymi do wykonania zamówienia;</w:t>
      </w:r>
    </w:p>
    <w:p>
      <w:pPr>
        <w:pStyle w:val="style0"/>
        <w:jc w:val="both"/>
      </w:pPr>
      <w:r>
        <w:rPr>
          <w:rFonts w:cs="Tahoma"/>
        </w:rPr>
      </w:r>
    </w:p>
    <w:p>
      <w:pPr>
        <w:pStyle w:val="style0"/>
        <w:jc w:val="both"/>
      </w:pPr>
      <w:r>
        <w:rPr>
          <w:rFonts w:cs="Tahoma"/>
          <w:b/>
          <w:bCs/>
        </w:rPr>
        <w:t xml:space="preserve">4. </w:t>
      </w:r>
      <w:r>
        <w:rPr>
          <w:rFonts w:cs="Tahoma"/>
        </w:rPr>
        <w:t>Sytuacji ekonomicznej i finansowej.</w:t>
      </w:r>
    </w:p>
    <w:p>
      <w:pPr>
        <w:pStyle w:val="style0"/>
      </w:pPr>
      <w:r>
        <w:rPr>
          <w:rFonts w:cs="Tahoma"/>
        </w:rPr>
      </w:r>
    </w:p>
    <w:p>
      <w:pPr>
        <w:pStyle w:val="style0"/>
      </w:pPr>
      <w:r>
        <w:rPr>
          <w:rFonts w:cs="Tahoma"/>
        </w:rPr>
      </w:r>
    </w:p>
    <w:p>
      <w:pPr>
        <w:pStyle w:val="style0"/>
      </w:pPr>
      <w:r>
        <w:rPr>
          <w:rFonts w:cs="Tahoma"/>
        </w:rPr>
      </w:r>
    </w:p>
    <w:p>
      <w:pPr>
        <w:pStyle w:val="style0"/>
      </w:pPr>
      <w:r>
        <w:rPr>
          <w:rFonts w:cs="Tahoma"/>
        </w:rPr>
      </w:r>
    </w:p>
    <w:p>
      <w:pPr>
        <w:pStyle w:val="style0"/>
      </w:pPr>
      <w:r>
        <w:rPr>
          <w:rFonts w:cs="Tahoma"/>
        </w:rPr>
      </w:r>
    </w:p>
    <w:p>
      <w:pPr>
        <w:pStyle w:val="style0"/>
      </w:pPr>
      <w:r>
        <w:rPr>
          <w:rFonts w:cs="Tahoma"/>
        </w:rPr>
      </w:r>
    </w:p>
    <w:p>
      <w:pPr>
        <w:pStyle w:val="style0"/>
      </w:pPr>
      <w:r>
        <w:rPr>
          <w:rFonts w:cs="Tahoma"/>
        </w:rPr>
        <w:t>...................................................................</w:t>
        <w:tab/>
        <w:t xml:space="preserve">  ................................................................................</w:t>
      </w:r>
    </w:p>
    <w:p>
      <w:pPr>
        <w:pStyle w:val="style0"/>
      </w:pPr>
      <w:r>
        <w:rPr>
          <w:rFonts w:cs="Tahoma"/>
          <w:i/>
          <w:iCs/>
          <w:sz w:val="20"/>
          <w:szCs w:val="20"/>
        </w:rPr>
        <w:tab/>
        <w:tab/>
        <w:t>miejscowość i data</w:t>
        <w:tab/>
        <w:tab/>
        <w:t xml:space="preserve">  podpisy osób uprawnionych do reprezentowania  Wykonawcy</w:t>
      </w:r>
    </w:p>
    <w:p>
      <w:pPr>
        <w:sectPr>
          <w:footerReference r:id="rId9" w:type="default"/>
          <w:type w:val="nextPage"/>
          <w:pgSz w:h="16838" w:w="11906"/>
          <w:pgMar w:bottom="1648" w:footer="1134" w:gutter="0" w:header="0" w:left="1134" w:right="1134" w:top="1134"/>
          <w:pgNumType w:fmt="decimal"/>
          <w:formProt w:val="false"/>
          <w:textDirection w:val="lrTb"/>
          <w:docGrid w:charSpace="0" w:linePitch="360" w:type="default"/>
        </w:sectPr>
        <w:pStyle w:val="style0"/>
      </w:pPr>
      <w:r>
        <w:rPr>
          <w:rFonts w:cs="Tahoma"/>
          <w:i/>
          <w:iCs/>
          <w:sz w:val="20"/>
          <w:szCs w:val="20"/>
        </w:rPr>
      </w:r>
    </w:p>
    <w:p>
      <w:pPr>
        <w:pStyle w:val="style0"/>
      </w:pPr>
      <w:r>
        <w:rPr>
          <w:rFonts w:cs="Tahoma"/>
          <w:b/>
          <w:bCs/>
        </w:rPr>
        <w:t>XXIV-38/01/16</w:t>
        <w:tab/>
        <w:tab/>
        <w:tab/>
        <w:tab/>
        <w:tab/>
        <w:tab/>
        <w:tab/>
      </w:r>
      <w:r>
        <w:rPr>
          <w:rFonts w:cs="Tahoma"/>
          <w:b/>
          <w:bCs/>
          <w:i/>
          <w:iCs/>
        </w:rPr>
        <w:t>ZAŁĄCZNIK NR 2 DO SIWZ</w:t>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rPr>
        <w:t>.............................................................................</w:t>
      </w:r>
    </w:p>
    <w:p>
      <w:pPr>
        <w:pStyle w:val="style0"/>
      </w:pPr>
      <w:r>
        <w:rPr>
          <w:rFonts w:cs="Tahoma"/>
        </w:rPr>
        <w:tab/>
        <w:tab/>
      </w:r>
      <w:r>
        <w:rPr>
          <w:rFonts w:cs="Tahoma"/>
          <w:i/>
          <w:iCs/>
          <w:sz w:val="20"/>
          <w:szCs w:val="20"/>
        </w:rPr>
        <w:t>pieczęć Wykonawcy</w:t>
      </w:r>
    </w:p>
    <w:p>
      <w:pPr>
        <w:pStyle w:val="style0"/>
      </w:pPr>
      <w:r>
        <w:rPr>
          <w:rFonts w:cs="Tahoma"/>
          <w:b/>
          <w:bCs/>
        </w:rPr>
      </w:r>
    </w:p>
    <w:p>
      <w:pPr>
        <w:pStyle w:val="style0"/>
      </w:pPr>
      <w:r>
        <w:rPr>
          <w:rFonts w:cs="Tahoma"/>
          <w:b/>
          <w:bCs/>
        </w:rPr>
        <w:t xml:space="preserve">WYKAZ USŁUG SPRZĄTANIA OBIEKTÓW </w:t>
      </w:r>
      <w:r>
        <w:rPr>
          <w:rFonts w:cs="Tahoma"/>
        </w:rPr>
        <w:t xml:space="preserve">(według punktu 6.1.2. siwz) – </w:t>
      </w:r>
      <w:r>
        <w:rPr>
          <w:rFonts w:cs="Tahoma"/>
          <w:i/>
          <w:iCs/>
        </w:rPr>
        <w:t>wzór</w:t>
      </w:r>
    </w:p>
    <w:p>
      <w:pPr>
        <w:pStyle w:val="style0"/>
      </w:pPr>
      <w:r>
        <w:rPr>
          <w:rFonts w:cs="Tahoma"/>
          <w:b/>
          <w:bCs/>
        </w:rPr>
      </w:r>
    </w:p>
    <w:tbl>
      <w:tblPr>
        <w:jc w:val="left"/>
        <w:tblInd w:type="dxa" w:w="5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54"/>
          <w:bottom w:type="dxa" w:w="55"/>
          <w:right w:type="dxa" w:w="55"/>
        </w:tblCellMar>
      </w:tblPr>
      <w:tblGrid>
        <w:gridCol w:w="326"/>
        <w:gridCol w:w="4474"/>
        <w:gridCol w:w="1366"/>
        <w:gridCol w:w="1319"/>
        <w:gridCol w:w="2198"/>
      </w:tblGrid>
      <w:tr>
        <w:trPr>
          <w:cantSplit w:val="false"/>
        </w:trPr>
        <w:tc>
          <w:tcPr>
            <w:tcW w:type="dxa" w:w="326"/>
            <w:tcBorders>
              <w:top w:color="000001" w:space="0" w:sz="2" w:val="single"/>
              <w:left w:color="000001" w:space="0" w:sz="2" w:val="single"/>
              <w:bottom w:color="000001" w:space="0" w:sz="2" w:val="single"/>
              <w:right w:val="none"/>
            </w:tcBorders>
            <w:shd w:fill="E6E6E6" w:val="clear"/>
            <w:tcMar>
              <w:left w:type="dxa" w:w="54"/>
            </w:tcMar>
          </w:tcPr>
          <w:p>
            <w:pPr>
              <w:pStyle w:val="style38"/>
            </w:pPr>
            <w:r>
              <w:rPr>
                <w:b/>
                <w:bCs/>
                <w:i/>
                <w:iCs/>
                <w:sz w:val="20"/>
                <w:szCs w:val="20"/>
              </w:rPr>
              <w:t>lp</w:t>
            </w:r>
          </w:p>
        </w:tc>
        <w:tc>
          <w:tcPr>
            <w:tcW w:type="dxa" w:w="4474"/>
            <w:tcBorders>
              <w:top w:color="000001" w:space="0" w:sz="2" w:val="single"/>
              <w:left w:color="000001" w:space="0" w:sz="2" w:val="single"/>
              <w:bottom w:color="000001" w:space="0" w:sz="2" w:val="single"/>
              <w:right w:val="none"/>
            </w:tcBorders>
            <w:shd w:fill="E6E6E6" w:val="clear"/>
            <w:tcMar>
              <w:left w:type="dxa" w:w="54"/>
            </w:tcMar>
          </w:tcPr>
          <w:p>
            <w:pPr>
              <w:pStyle w:val="style38"/>
            </w:pPr>
            <w:r>
              <w:rPr>
                <w:b/>
                <w:bCs/>
                <w:i/>
                <w:iCs/>
                <w:sz w:val="20"/>
                <w:szCs w:val="20"/>
              </w:rPr>
              <w:t>opis przedmiotu usługi (charakter obiektów, rodzaj prac, powierzchnie itp.)</w:t>
            </w:r>
          </w:p>
        </w:tc>
        <w:tc>
          <w:tcPr>
            <w:tcW w:type="dxa" w:w="1366"/>
            <w:tcBorders>
              <w:top w:color="000001" w:space="0" w:sz="2" w:val="single"/>
              <w:left w:color="000001" w:space="0" w:sz="2" w:val="single"/>
              <w:bottom w:color="000001" w:space="0" w:sz="2" w:val="single"/>
              <w:right w:val="none"/>
            </w:tcBorders>
            <w:shd w:fill="E6E6E6" w:val="clear"/>
            <w:tcMar>
              <w:left w:type="dxa" w:w="54"/>
            </w:tcMar>
          </w:tcPr>
          <w:p>
            <w:pPr>
              <w:pStyle w:val="style38"/>
            </w:pPr>
            <w:r>
              <w:rPr>
                <w:b/>
                <w:bCs/>
                <w:i/>
                <w:iCs/>
                <w:sz w:val="20"/>
                <w:szCs w:val="20"/>
              </w:rPr>
              <w:t xml:space="preserve">wartość miesięczna  brutto usługi </w:t>
            </w:r>
          </w:p>
        </w:tc>
        <w:tc>
          <w:tcPr>
            <w:tcW w:type="dxa" w:w="1319"/>
            <w:tcBorders>
              <w:top w:color="000001" w:space="0" w:sz="2" w:val="single"/>
              <w:left w:color="000001" w:space="0" w:sz="2" w:val="single"/>
              <w:bottom w:color="000001" w:space="0" w:sz="2" w:val="single"/>
              <w:right w:val="none"/>
            </w:tcBorders>
            <w:shd w:fill="E6E6E6" w:val="clear"/>
            <w:tcMar>
              <w:left w:type="dxa" w:w="54"/>
            </w:tcMar>
          </w:tcPr>
          <w:p>
            <w:pPr>
              <w:pStyle w:val="style38"/>
            </w:pPr>
            <w:r>
              <w:rPr>
                <w:b/>
                <w:bCs/>
                <w:i/>
                <w:iCs/>
                <w:sz w:val="20"/>
                <w:szCs w:val="20"/>
              </w:rPr>
              <w:t xml:space="preserve">okres wykonywania usługi </w:t>
            </w:r>
          </w:p>
        </w:tc>
        <w:tc>
          <w:tcPr>
            <w:tcW w:type="dxa" w:w="2198"/>
            <w:tcBorders>
              <w:top w:color="000001" w:space="0" w:sz="2" w:val="single"/>
              <w:left w:color="000001" w:space="0" w:sz="2" w:val="single"/>
              <w:bottom w:color="000001" w:space="0" w:sz="2" w:val="single"/>
              <w:right w:color="000001" w:space="0" w:sz="2" w:val="single"/>
            </w:tcBorders>
            <w:shd w:fill="E6E6E6" w:val="clear"/>
            <w:tcMar>
              <w:left w:type="dxa" w:w="54"/>
            </w:tcMar>
          </w:tcPr>
          <w:p>
            <w:pPr>
              <w:pStyle w:val="style38"/>
            </w:pPr>
            <w:r>
              <w:rPr>
                <w:b/>
                <w:bCs/>
                <w:i/>
                <w:iCs/>
                <w:sz w:val="20"/>
                <w:szCs w:val="20"/>
              </w:rPr>
              <w:t xml:space="preserve">nazwa i adres odbiorcy usługi </w:t>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pPr>
            <w:r>
              <w:rPr/>
              <w:t>1</w:t>
            </w:r>
          </w:p>
          <w:p>
            <w:pPr>
              <w:pStyle w:val="style38"/>
            </w:pPr>
            <w:r>
              <w:rPr/>
            </w:r>
          </w:p>
          <w:p>
            <w:pPr>
              <w:pStyle w:val="style38"/>
            </w:pPr>
            <w:r>
              <w:rPr/>
            </w:r>
          </w:p>
        </w:tc>
        <w:tc>
          <w:tcPr>
            <w:tcW w:type="dxa" w:w="4474"/>
            <w:tcBorders>
              <w:top w:val="none"/>
              <w:left w:color="000001" w:space="0" w:sz="2" w:val="single"/>
              <w:bottom w:color="000001" w:space="0" w:sz="2" w:val="single"/>
              <w:right w:val="none"/>
            </w:tcBorders>
            <w:shd w:fill="FFFFFF" w:val="clear"/>
            <w:tcMar>
              <w:left w:type="dxa" w:w="54"/>
            </w:tcMar>
          </w:tcPr>
          <w:p>
            <w:pPr>
              <w:pStyle w:val="style38"/>
            </w:pPr>
            <w:r>
              <w:rPr/>
            </w:r>
          </w:p>
          <w:p>
            <w:pPr>
              <w:pStyle w:val="style38"/>
            </w:pPr>
            <w:r>
              <w:rPr/>
            </w:r>
          </w:p>
          <w:p>
            <w:pPr>
              <w:pStyle w:val="style38"/>
            </w:pPr>
            <w:r>
              <w:rPr/>
            </w:r>
          </w:p>
          <w:p>
            <w:pPr>
              <w:pStyle w:val="style38"/>
            </w:pPr>
            <w:r>
              <w:rPr/>
            </w:r>
          </w:p>
        </w:tc>
        <w:tc>
          <w:tcPr>
            <w:tcW w:type="dxa" w:w="1366"/>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1319"/>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pPr>
            <w:r>
              <w:rPr/>
              <w:t>2</w:t>
            </w:r>
          </w:p>
          <w:p>
            <w:pPr>
              <w:pStyle w:val="style38"/>
            </w:pPr>
            <w:r>
              <w:rPr/>
            </w:r>
          </w:p>
          <w:p>
            <w:pPr>
              <w:pStyle w:val="style38"/>
            </w:pPr>
            <w:r>
              <w:rPr/>
            </w:r>
          </w:p>
        </w:tc>
        <w:tc>
          <w:tcPr>
            <w:tcW w:type="dxa" w:w="4474"/>
            <w:tcBorders>
              <w:top w:val="none"/>
              <w:left w:color="000001" w:space="0" w:sz="2" w:val="single"/>
              <w:bottom w:color="000001" w:space="0" w:sz="2" w:val="single"/>
              <w:right w:val="none"/>
            </w:tcBorders>
            <w:shd w:fill="FFFFFF" w:val="clear"/>
            <w:tcMar>
              <w:left w:type="dxa" w:w="54"/>
            </w:tcMar>
          </w:tcPr>
          <w:p>
            <w:pPr>
              <w:pStyle w:val="style38"/>
            </w:pPr>
            <w:r>
              <w:rPr/>
            </w:r>
          </w:p>
          <w:p>
            <w:pPr>
              <w:pStyle w:val="style38"/>
            </w:pPr>
            <w:r>
              <w:rPr/>
            </w:r>
          </w:p>
          <w:p>
            <w:pPr>
              <w:pStyle w:val="style38"/>
            </w:pPr>
            <w:r>
              <w:rPr/>
            </w:r>
          </w:p>
          <w:p>
            <w:pPr>
              <w:pStyle w:val="style38"/>
            </w:pPr>
            <w:r>
              <w:rPr/>
            </w:r>
          </w:p>
        </w:tc>
        <w:tc>
          <w:tcPr>
            <w:tcW w:type="dxa" w:w="1366"/>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1319"/>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pPr>
            <w:r>
              <w:rPr/>
              <w:t>3</w:t>
            </w:r>
          </w:p>
          <w:p>
            <w:pPr>
              <w:pStyle w:val="style38"/>
            </w:pPr>
            <w:r>
              <w:rPr/>
            </w:r>
          </w:p>
          <w:p>
            <w:pPr>
              <w:pStyle w:val="style38"/>
            </w:pPr>
            <w:r>
              <w:rPr/>
            </w:r>
          </w:p>
        </w:tc>
        <w:tc>
          <w:tcPr>
            <w:tcW w:type="dxa" w:w="4474"/>
            <w:tcBorders>
              <w:top w:val="none"/>
              <w:left w:color="000001" w:space="0" w:sz="2" w:val="single"/>
              <w:bottom w:color="000001" w:space="0" w:sz="2" w:val="single"/>
              <w:right w:val="none"/>
            </w:tcBorders>
            <w:shd w:fill="FFFFFF" w:val="clear"/>
            <w:tcMar>
              <w:left w:type="dxa" w:w="54"/>
            </w:tcMar>
          </w:tcPr>
          <w:p>
            <w:pPr>
              <w:pStyle w:val="style38"/>
            </w:pPr>
            <w:r>
              <w:rPr/>
            </w:r>
          </w:p>
          <w:p>
            <w:pPr>
              <w:pStyle w:val="style38"/>
            </w:pPr>
            <w:r>
              <w:rPr/>
            </w:r>
          </w:p>
          <w:p>
            <w:pPr>
              <w:pStyle w:val="style38"/>
            </w:pPr>
            <w:r>
              <w:rPr/>
            </w:r>
          </w:p>
          <w:p>
            <w:pPr>
              <w:pStyle w:val="style38"/>
            </w:pPr>
            <w:r>
              <w:rPr/>
            </w:r>
          </w:p>
        </w:tc>
        <w:tc>
          <w:tcPr>
            <w:tcW w:type="dxa" w:w="1366"/>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1319"/>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pPr>
            <w:r>
              <w:rPr/>
              <w:t>4</w:t>
            </w:r>
          </w:p>
          <w:p>
            <w:pPr>
              <w:pStyle w:val="style38"/>
            </w:pPr>
            <w:r>
              <w:rPr/>
            </w:r>
          </w:p>
          <w:p>
            <w:pPr>
              <w:pStyle w:val="style38"/>
            </w:pPr>
            <w:r>
              <w:rPr/>
            </w:r>
          </w:p>
        </w:tc>
        <w:tc>
          <w:tcPr>
            <w:tcW w:type="dxa" w:w="4474"/>
            <w:tcBorders>
              <w:top w:val="none"/>
              <w:left w:color="000001" w:space="0" w:sz="2" w:val="single"/>
              <w:bottom w:color="000001" w:space="0" w:sz="2" w:val="single"/>
              <w:right w:val="none"/>
            </w:tcBorders>
            <w:shd w:fill="FFFFFF" w:val="clear"/>
            <w:tcMar>
              <w:left w:type="dxa" w:w="54"/>
            </w:tcMar>
          </w:tcPr>
          <w:p>
            <w:pPr>
              <w:pStyle w:val="style38"/>
            </w:pPr>
            <w:r>
              <w:rPr/>
            </w:r>
          </w:p>
          <w:p>
            <w:pPr>
              <w:pStyle w:val="style38"/>
            </w:pPr>
            <w:r>
              <w:rPr/>
            </w:r>
          </w:p>
          <w:p>
            <w:pPr>
              <w:pStyle w:val="style38"/>
            </w:pPr>
            <w:r>
              <w:rPr/>
            </w:r>
          </w:p>
          <w:p>
            <w:pPr>
              <w:pStyle w:val="style38"/>
            </w:pPr>
            <w:r>
              <w:rPr/>
            </w:r>
          </w:p>
        </w:tc>
        <w:tc>
          <w:tcPr>
            <w:tcW w:type="dxa" w:w="1366"/>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1319"/>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pPr>
            <w:r>
              <w:rPr/>
              <w:t>5</w:t>
            </w:r>
          </w:p>
          <w:p>
            <w:pPr>
              <w:pStyle w:val="style38"/>
            </w:pPr>
            <w:r>
              <w:rPr/>
              <w:t>.</w:t>
            </w:r>
          </w:p>
          <w:p>
            <w:pPr>
              <w:pStyle w:val="style38"/>
            </w:pPr>
            <w:r>
              <w:rPr/>
              <w:t>.</w:t>
            </w:r>
          </w:p>
          <w:p>
            <w:pPr>
              <w:pStyle w:val="style38"/>
            </w:pPr>
            <w:r>
              <w:rPr/>
              <w:t>.</w:t>
            </w:r>
          </w:p>
          <w:p>
            <w:pPr>
              <w:pStyle w:val="style38"/>
            </w:pPr>
            <w:r>
              <w:rPr/>
              <w:t>.</w:t>
            </w:r>
          </w:p>
        </w:tc>
        <w:tc>
          <w:tcPr>
            <w:tcW w:type="dxa" w:w="4474"/>
            <w:tcBorders>
              <w:top w:val="none"/>
              <w:left w:color="000001" w:space="0" w:sz="2" w:val="single"/>
              <w:bottom w:color="000001" w:space="0" w:sz="2" w:val="single"/>
              <w:right w:val="none"/>
            </w:tcBorders>
            <w:shd w:fill="FFFFFF" w:val="clear"/>
            <w:tcMar>
              <w:left w:type="dxa" w:w="54"/>
            </w:tcMar>
          </w:tcPr>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p>
            <w:pPr>
              <w:pStyle w:val="style38"/>
            </w:pPr>
            <w:r>
              <w:rPr/>
            </w:r>
          </w:p>
        </w:tc>
        <w:tc>
          <w:tcPr>
            <w:tcW w:type="dxa" w:w="1366"/>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1319"/>
            <w:tcBorders>
              <w:top w:val="none"/>
              <w:left w:color="000001" w:space="0" w:sz="2" w:val="single"/>
              <w:bottom w:color="000001" w:space="0" w:sz="2" w:val="single"/>
              <w:right w:val="none"/>
            </w:tcBorders>
            <w:shd w:fill="FFFFFF" w:val="clear"/>
            <w:tcMar>
              <w:left w:type="dxa" w:w="54"/>
            </w:tcMar>
          </w:tcPr>
          <w:p>
            <w:pPr>
              <w:pStyle w:val="style38"/>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pPr>
            <w:r>
              <w:rPr/>
            </w:r>
          </w:p>
        </w:tc>
      </w:tr>
    </w:tbl>
    <w:p>
      <w:pPr>
        <w:pStyle w:val="style0"/>
      </w:pPr>
      <w:r>
        <w:rPr/>
      </w:r>
    </w:p>
    <w:p>
      <w:pPr>
        <w:pStyle w:val="style0"/>
      </w:pPr>
      <w:r>
        <w:rPr>
          <w:rFonts w:cs="Tahoma"/>
          <w:b/>
          <w:bCs/>
        </w:rPr>
      </w:r>
    </w:p>
    <w:p>
      <w:pPr>
        <w:pStyle w:val="style0"/>
      </w:pPr>
      <w:r>
        <w:rPr>
          <w:rFonts w:cs="Tahoma"/>
          <w:b/>
          <w:bCs/>
        </w:rPr>
      </w:r>
    </w:p>
    <w:p>
      <w:pPr>
        <w:pStyle w:val="style0"/>
      </w:pPr>
      <w:r>
        <w:rPr>
          <w:rFonts w:cs="Tahoma"/>
          <w:b/>
          <w:bCs/>
        </w:rPr>
      </w:r>
    </w:p>
    <w:p>
      <w:pPr>
        <w:pStyle w:val="style0"/>
      </w:pPr>
      <w:r>
        <w:rPr>
          <w:rFonts w:cs="Tahoma"/>
        </w:rPr>
        <w:t>..................................................................    ........................................................................................</w:t>
      </w:r>
    </w:p>
    <w:p>
      <w:pPr>
        <w:pStyle w:val="style0"/>
      </w:pPr>
      <w:r>
        <w:rPr>
          <w:rFonts w:cs="Tahoma"/>
          <w:i/>
          <w:iCs/>
          <w:sz w:val="20"/>
          <w:szCs w:val="20"/>
        </w:rPr>
        <w:t xml:space="preserve">                  </w:t>
      </w:r>
      <w:r>
        <w:rPr>
          <w:rFonts w:cs="Tahoma"/>
          <w:i/>
          <w:iCs/>
          <w:sz w:val="20"/>
          <w:szCs w:val="20"/>
        </w:rPr>
        <w:t>miejscowość i data                                     podpisy osób uprawnionych do reprezentowania Wykonawcy</w:t>
      </w:r>
    </w:p>
    <w:p>
      <w:pPr>
        <w:pStyle w:val="style0"/>
      </w:pPr>
      <w:r>
        <w:rPr>
          <w:rFonts w:cs="Tahoma"/>
          <w:b/>
          <w:bCs/>
        </w:rPr>
      </w:r>
    </w:p>
    <w:p>
      <w:pPr>
        <w:pStyle w:val="style0"/>
      </w:pPr>
      <w:r>
        <w:rPr>
          <w:rFonts w:cs="Tahoma"/>
          <w:b/>
          <w:bCs/>
        </w:rPr>
      </w:r>
    </w:p>
    <w:p>
      <w:pPr>
        <w:pStyle w:val="style0"/>
        <w:jc w:val="both"/>
      </w:pPr>
      <w:r>
        <w:rPr>
          <w:rFonts w:cs="Tahoma"/>
          <w:i/>
          <w:iCs/>
          <w:u w:val="single"/>
        </w:rPr>
        <w:t>Uwaga:</w:t>
      </w:r>
      <w:r>
        <w:rPr>
          <w:rFonts w:cs="Tahoma"/>
          <w:i/>
          <w:iCs/>
        </w:rPr>
        <w:t xml:space="preserve"> do wykazu należy dołączyć dowody, o których mowa w </w:t>
      </w:r>
      <w:r>
        <w:rPr>
          <w:i/>
          <w:iCs/>
        </w:rPr>
        <w:t>§</w:t>
      </w:r>
      <w:r>
        <w:rPr>
          <w:rFonts w:cs="Tahoma"/>
          <w:i/>
          <w:iCs/>
        </w:rPr>
        <w:t>1 ust.2 Rozporządzenia Prezesa Rady Ministrów z 19.02 2013 r. w sprawie rodzaju dokumentów, jakich może żądać zamawiający od wykonawcy oraz form, w jakich te dokumenty mogą być składane, potwierdzające, że dostawy zostały wykonane należycie (zob. p. 6.1.2 siwz).</w:t>
      </w:r>
    </w:p>
    <w:p>
      <w:pPr>
        <w:sectPr>
          <w:footerReference r:id="rId10" w:type="default"/>
          <w:type w:val="nextPage"/>
          <w:pgSz w:h="16838" w:w="11906"/>
          <w:pgMar w:bottom="1648" w:footer="1134" w:gutter="0" w:header="0" w:left="1134" w:right="1134" w:top="1134"/>
          <w:pgNumType w:fmt="decimal"/>
          <w:formProt w:val="false"/>
          <w:textDirection w:val="lrTb"/>
          <w:docGrid w:charSpace="0" w:linePitch="360" w:type="default"/>
        </w:sectPr>
        <w:pStyle w:val="style0"/>
      </w:pPr>
      <w:r>
        <w:rPr>
          <w:rFonts w:cs="Tahoma"/>
          <w:i/>
          <w:iCs/>
        </w:rPr>
      </w:r>
    </w:p>
    <w:p>
      <w:pPr>
        <w:pStyle w:val="style0"/>
        <w:jc w:val="both"/>
      </w:pPr>
      <w:r>
        <w:rPr>
          <w:rFonts w:cs="Tahoma"/>
          <w:b/>
          <w:bCs/>
        </w:rPr>
        <w:t>XXIV-38/01/16</w:t>
        <w:tab/>
        <w:tab/>
        <w:tab/>
        <w:tab/>
        <w:tab/>
        <w:tab/>
        <w:tab/>
      </w:r>
      <w:r>
        <w:rPr>
          <w:rFonts w:cs="Tahoma"/>
          <w:b/>
          <w:bCs/>
          <w:i/>
          <w:iCs/>
        </w:rPr>
        <w:t>ZAŁĄCZNIK NR 3 DO SIWZ</w:t>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rPr>
        <w:t>.............................................................................</w:t>
      </w:r>
    </w:p>
    <w:p>
      <w:pPr>
        <w:pStyle w:val="style0"/>
        <w:jc w:val="both"/>
      </w:pPr>
      <w:r>
        <w:rPr>
          <w:rFonts w:cs="Tahoma"/>
        </w:rPr>
        <w:tab/>
        <w:tab/>
      </w:r>
      <w:r>
        <w:rPr>
          <w:rFonts w:cs="Tahoma"/>
          <w:i/>
          <w:iCs/>
          <w:sz w:val="20"/>
          <w:szCs w:val="20"/>
        </w:rPr>
        <w:t>pieczęć Wykonawcy</w:t>
      </w:r>
    </w:p>
    <w:p>
      <w:pPr>
        <w:pStyle w:val="style0"/>
        <w:jc w:val="both"/>
      </w:pPr>
      <w:r>
        <w:rPr>
          <w:rFonts w:cs="Tahoma"/>
          <w:b/>
          <w:bCs/>
        </w:rPr>
      </w:r>
    </w:p>
    <w:p>
      <w:pPr>
        <w:pStyle w:val="style0"/>
        <w:jc w:val="both"/>
      </w:pPr>
      <w:r>
        <w:rPr>
          <w:rFonts w:cs="Tahoma"/>
          <w:b/>
          <w:bCs/>
        </w:rPr>
        <w:t xml:space="preserve">WYKAZ USŁUG UTRZYMANIA TERENÓW ZIELONYCH </w:t>
      </w:r>
      <w:r>
        <w:rPr>
          <w:rFonts w:cs="Tahoma"/>
        </w:rPr>
        <w:t xml:space="preserve">(wg punktu 6.1.3 siwz) – </w:t>
      </w:r>
      <w:r>
        <w:rPr>
          <w:rFonts w:cs="Tahoma"/>
          <w:i/>
          <w:iCs/>
        </w:rPr>
        <w:t>wzór</w:t>
      </w:r>
    </w:p>
    <w:p>
      <w:pPr>
        <w:pStyle w:val="style0"/>
        <w:jc w:val="both"/>
      </w:pPr>
      <w:r>
        <w:rPr>
          <w:rFonts w:cs="Tahoma"/>
          <w:b/>
          <w:bCs/>
        </w:rPr>
      </w:r>
    </w:p>
    <w:tbl>
      <w:tblPr>
        <w:jc w:val="left"/>
        <w:tblInd w:type="dxa" w:w="5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54"/>
          <w:bottom w:type="dxa" w:w="55"/>
          <w:right w:type="dxa" w:w="55"/>
        </w:tblCellMar>
      </w:tblPr>
      <w:tblGrid>
        <w:gridCol w:w="326"/>
        <w:gridCol w:w="4563"/>
        <w:gridCol w:w="1336"/>
        <w:gridCol w:w="1260"/>
        <w:gridCol w:w="2198"/>
      </w:tblGrid>
      <w:tr>
        <w:trPr>
          <w:cantSplit w:val="false"/>
        </w:trPr>
        <w:tc>
          <w:tcPr>
            <w:tcW w:type="dxa" w:w="326"/>
            <w:tcBorders>
              <w:top w:color="000001" w:space="0" w:sz="2" w:val="single"/>
              <w:left w:color="000001" w:space="0" w:sz="2" w:val="single"/>
              <w:bottom w:color="000001" w:space="0" w:sz="2" w:val="single"/>
              <w:right w:val="none"/>
            </w:tcBorders>
            <w:shd w:fill="E6E6E6" w:val="clear"/>
            <w:tcMar>
              <w:left w:type="dxa" w:w="54"/>
            </w:tcMar>
          </w:tcPr>
          <w:p>
            <w:pPr>
              <w:pStyle w:val="style38"/>
              <w:jc w:val="center"/>
            </w:pPr>
            <w:r>
              <w:rPr>
                <w:b/>
                <w:bCs/>
                <w:i/>
                <w:iCs/>
                <w:sz w:val="20"/>
                <w:szCs w:val="20"/>
              </w:rPr>
              <w:t>lp</w:t>
            </w:r>
          </w:p>
        </w:tc>
        <w:tc>
          <w:tcPr>
            <w:tcW w:type="dxa" w:w="4563"/>
            <w:tcBorders>
              <w:top w:color="000001" w:space="0" w:sz="2" w:val="single"/>
              <w:left w:color="000001" w:space="0" w:sz="2" w:val="single"/>
              <w:bottom w:color="000001" w:space="0" w:sz="2" w:val="single"/>
              <w:right w:val="none"/>
            </w:tcBorders>
            <w:shd w:fill="E6E6E6" w:val="clear"/>
            <w:tcMar>
              <w:left w:type="dxa" w:w="54"/>
            </w:tcMar>
          </w:tcPr>
          <w:p>
            <w:pPr>
              <w:pStyle w:val="style38"/>
              <w:jc w:val="center"/>
            </w:pPr>
            <w:r>
              <w:rPr>
                <w:b/>
                <w:bCs/>
                <w:i/>
                <w:iCs/>
                <w:sz w:val="20"/>
                <w:szCs w:val="20"/>
              </w:rPr>
              <w:t>opis przedmiotu usługi (charakter terenu, rodzaje nasadzeń, powierzchnie, zakres usługi itp.)</w:t>
            </w:r>
          </w:p>
        </w:tc>
        <w:tc>
          <w:tcPr>
            <w:tcW w:type="dxa" w:w="1336"/>
            <w:tcBorders>
              <w:top w:color="000001" w:space="0" w:sz="2" w:val="single"/>
              <w:left w:color="000001" w:space="0" w:sz="2" w:val="single"/>
              <w:bottom w:color="000001" w:space="0" w:sz="2" w:val="single"/>
              <w:right w:val="none"/>
            </w:tcBorders>
            <w:shd w:fill="E6E6E6" w:val="clear"/>
            <w:tcMar>
              <w:left w:type="dxa" w:w="54"/>
            </w:tcMar>
          </w:tcPr>
          <w:p>
            <w:pPr>
              <w:pStyle w:val="style38"/>
              <w:jc w:val="center"/>
            </w:pPr>
            <w:r>
              <w:rPr>
                <w:b/>
                <w:bCs/>
                <w:i/>
                <w:iCs/>
                <w:sz w:val="20"/>
                <w:szCs w:val="20"/>
              </w:rPr>
              <w:t>wartość miesięczna  brutto usługi</w:t>
            </w:r>
          </w:p>
        </w:tc>
        <w:tc>
          <w:tcPr>
            <w:tcW w:type="dxa" w:w="1260"/>
            <w:tcBorders>
              <w:top w:color="000001" w:space="0" w:sz="2" w:val="single"/>
              <w:left w:color="000001" w:space="0" w:sz="2" w:val="single"/>
              <w:bottom w:color="000001" w:space="0" w:sz="2" w:val="single"/>
              <w:right w:val="none"/>
            </w:tcBorders>
            <w:shd w:fill="E6E6E6" w:val="clear"/>
            <w:tcMar>
              <w:left w:type="dxa" w:w="54"/>
            </w:tcMar>
          </w:tcPr>
          <w:p>
            <w:pPr>
              <w:pStyle w:val="style38"/>
              <w:jc w:val="center"/>
            </w:pPr>
            <w:r>
              <w:rPr>
                <w:b/>
                <w:bCs/>
                <w:i/>
                <w:iCs/>
                <w:sz w:val="20"/>
                <w:szCs w:val="20"/>
              </w:rPr>
              <w:t>okres wykonywania usługi</w:t>
            </w:r>
          </w:p>
        </w:tc>
        <w:tc>
          <w:tcPr>
            <w:tcW w:type="dxa" w:w="2198"/>
            <w:tcBorders>
              <w:top w:color="000001" w:space="0" w:sz="2" w:val="single"/>
              <w:left w:color="000001" w:space="0" w:sz="2" w:val="single"/>
              <w:bottom w:color="000001" w:space="0" w:sz="2" w:val="single"/>
              <w:right w:color="000001" w:space="0" w:sz="2" w:val="single"/>
            </w:tcBorders>
            <w:shd w:fill="E6E6E6" w:val="clear"/>
            <w:tcMar>
              <w:left w:type="dxa" w:w="54"/>
            </w:tcMar>
          </w:tcPr>
          <w:p>
            <w:pPr>
              <w:pStyle w:val="style38"/>
              <w:jc w:val="center"/>
            </w:pPr>
            <w:r>
              <w:rPr>
                <w:b/>
                <w:bCs/>
                <w:i/>
                <w:iCs/>
                <w:sz w:val="20"/>
                <w:szCs w:val="20"/>
              </w:rPr>
              <w:t>nazwa i adres odbiorcy usługi</w:t>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jc w:val="both"/>
            </w:pPr>
            <w:r>
              <w:rPr/>
              <w:t>1</w:t>
            </w:r>
          </w:p>
          <w:p>
            <w:pPr>
              <w:pStyle w:val="style38"/>
              <w:jc w:val="both"/>
            </w:pPr>
            <w:r>
              <w:rPr/>
            </w:r>
          </w:p>
          <w:p>
            <w:pPr>
              <w:pStyle w:val="style38"/>
              <w:jc w:val="both"/>
            </w:pPr>
            <w:r>
              <w:rPr/>
            </w:r>
          </w:p>
        </w:tc>
        <w:tc>
          <w:tcPr>
            <w:tcW w:type="dxa" w:w="4563"/>
            <w:tcBorders>
              <w:top w:val="none"/>
              <w:left w:color="000001" w:space="0" w:sz="2" w:val="single"/>
              <w:bottom w:color="000001" w:space="0" w:sz="2" w:val="single"/>
              <w:right w:val="none"/>
            </w:tcBorders>
            <w:shd w:fill="FFFFFF" w:val="clear"/>
            <w:tcMar>
              <w:left w:type="dxa" w:w="54"/>
            </w:tcMar>
          </w:tcPr>
          <w:p>
            <w:pPr>
              <w:pStyle w:val="style38"/>
              <w:jc w:val="both"/>
            </w:pPr>
            <w:r>
              <w:rPr/>
            </w:r>
          </w:p>
          <w:p>
            <w:pPr>
              <w:pStyle w:val="style38"/>
              <w:jc w:val="both"/>
            </w:pPr>
            <w:r>
              <w:rPr/>
            </w:r>
          </w:p>
          <w:p>
            <w:pPr>
              <w:pStyle w:val="style38"/>
              <w:jc w:val="both"/>
            </w:pPr>
            <w:r>
              <w:rPr/>
            </w:r>
          </w:p>
          <w:p>
            <w:pPr>
              <w:pStyle w:val="style38"/>
              <w:jc w:val="both"/>
            </w:pPr>
            <w:r>
              <w:rPr/>
            </w:r>
          </w:p>
        </w:tc>
        <w:tc>
          <w:tcPr>
            <w:tcW w:type="dxa" w:w="1336"/>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1260"/>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jc w:val="both"/>
            </w:pPr>
            <w:r>
              <w:rPr/>
              <w:t>2</w:t>
            </w:r>
          </w:p>
          <w:p>
            <w:pPr>
              <w:pStyle w:val="style38"/>
              <w:jc w:val="both"/>
            </w:pPr>
            <w:r>
              <w:rPr/>
            </w:r>
          </w:p>
          <w:p>
            <w:pPr>
              <w:pStyle w:val="style38"/>
              <w:jc w:val="both"/>
            </w:pPr>
            <w:r>
              <w:rPr/>
            </w:r>
          </w:p>
        </w:tc>
        <w:tc>
          <w:tcPr>
            <w:tcW w:type="dxa" w:w="4563"/>
            <w:tcBorders>
              <w:top w:val="none"/>
              <w:left w:color="000001" w:space="0" w:sz="2" w:val="single"/>
              <w:bottom w:color="000001" w:space="0" w:sz="2" w:val="single"/>
              <w:right w:val="none"/>
            </w:tcBorders>
            <w:shd w:fill="FFFFFF" w:val="clear"/>
            <w:tcMar>
              <w:left w:type="dxa" w:w="54"/>
            </w:tcMar>
          </w:tcPr>
          <w:p>
            <w:pPr>
              <w:pStyle w:val="style38"/>
              <w:jc w:val="both"/>
            </w:pPr>
            <w:r>
              <w:rPr/>
            </w:r>
          </w:p>
          <w:p>
            <w:pPr>
              <w:pStyle w:val="style38"/>
              <w:jc w:val="both"/>
            </w:pPr>
            <w:r>
              <w:rPr/>
            </w:r>
          </w:p>
          <w:p>
            <w:pPr>
              <w:pStyle w:val="style38"/>
              <w:jc w:val="both"/>
            </w:pPr>
            <w:r>
              <w:rPr/>
            </w:r>
          </w:p>
          <w:p>
            <w:pPr>
              <w:pStyle w:val="style38"/>
              <w:jc w:val="both"/>
            </w:pPr>
            <w:r>
              <w:rPr/>
            </w:r>
          </w:p>
        </w:tc>
        <w:tc>
          <w:tcPr>
            <w:tcW w:type="dxa" w:w="1336"/>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1260"/>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jc w:val="both"/>
            </w:pPr>
            <w:r>
              <w:rPr/>
              <w:t>3</w:t>
            </w:r>
          </w:p>
          <w:p>
            <w:pPr>
              <w:pStyle w:val="style38"/>
              <w:jc w:val="both"/>
            </w:pPr>
            <w:r>
              <w:rPr/>
            </w:r>
          </w:p>
          <w:p>
            <w:pPr>
              <w:pStyle w:val="style38"/>
              <w:jc w:val="both"/>
            </w:pPr>
            <w:r>
              <w:rPr/>
            </w:r>
          </w:p>
        </w:tc>
        <w:tc>
          <w:tcPr>
            <w:tcW w:type="dxa" w:w="4563"/>
            <w:tcBorders>
              <w:top w:val="none"/>
              <w:left w:color="000001" w:space="0" w:sz="2" w:val="single"/>
              <w:bottom w:color="000001" w:space="0" w:sz="2" w:val="single"/>
              <w:right w:val="none"/>
            </w:tcBorders>
            <w:shd w:fill="FFFFFF" w:val="clear"/>
            <w:tcMar>
              <w:left w:type="dxa" w:w="54"/>
            </w:tcMar>
          </w:tcPr>
          <w:p>
            <w:pPr>
              <w:pStyle w:val="style38"/>
              <w:jc w:val="both"/>
            </w:pPr>
            <w:r>
              <w:rPr/>
            </w:r>
          </w:p>
          <w:p>
            <w:pPr>
              <w:pStyle w:val="style38"/>
              <w:jc w:val="both"/>
            </w:pPr>
            <w:r>
              <w:rPr/>
            </w:r>
          </w:p>
          <w:p>
            <w:pPr>
              <w:pStyle w:val="style38"/>
              <w:jc w:val="both"/>
            </w:pPr>
            <w:r>
              <w:rPr/>
            </w:r>
          </w:p>
          <w:p>
            <w:pPr>
              <w:pStyle w:val="style38"/>
              <w:jc w:val="both"/>
            </w:pPr>
            <w:r>
              <w:rPr/>
            </w:r>
          </w:p>
        </w:tc>
        <w:tc>
          <w:tcPr>
            <w:tcW w:type="dxa" w:w="1336"/>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1260"/>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jc w:val="both"/>
            </w:pPr>
            <w:r>
              <w:rPr/>
              <w:t>4</w:t>
            </w:r>
          </w:p>
          <w:p>
            <w:pPr>
              <w:pStyle w:val="style38"/>
              <w:jc w:val="both"/>
            </w:pPr>
            <w:r>
              <w:rPr/>
            </w:r>
          </w:p>
          <w:p>
            <w:pPr>
              <w:pStyle w:val="style38"/>
              <w:jc w:val="both"/>
            </w:pPr>
            <w:r>
              <w:rPr/>
            </w:r>
          </w:p>
        </w:tc>
        <w:tc>
          <w:tcPr>
            <w:tcW w:type="dxa" w:w="4563"/>
            <w:tcBorders>
              <w:top w:val="none"/>
              <w:left w:color="000001" w:space="0" w:sz="2" w:val="single"/>
              <w:bottom w:color="000001" w:space="0" w:sz="2" w:val="single"/>
              <w:right w:val="none"/>
            </w:tcBorders>
            <w:shd w:fill="FFFFFF" w:val="clear"/>
            <w:tcMar>
              <w:left w:type="dxa" w:w="54"/>
            </w:tcMar>
          </w:tcPr>
          <w:p>
            <w:pPr>
              <w:pStyle w:val="style38"/>
              <w:jc w:val="both"/>
            </w:pPr>
            <w:r>
              <w:rPr/>
            </w:r>
          </w:p>
          <w:p>
            <w:pPr>
              <w:pStyle w:val="style38"/>
              <w:jc w:val="both"/>
            </w:pPr>
            <w:r>
              <w:rPr/>
            </w:r>
          </w:p>
          <w:p>
            <w:pPr>
              <w:pStyle w:val="style38"/>
              <w:jc w:val="both"/>
            </w:pPr>
            <w:r>
              <w:rPr/>
            </w:r>
          </w:p>
          <w:p>
            <w:pPr>
              <w:pStyle w:val="style38"/>
              <w:jc w:val="both"/>
            </w:pPr>
            <w:r>
              <w:rPr/>
            </w:r>
          </w:p>
        </w:tc>
        <w:tc>
          <w:tcPr>
            <w:tcW w:type="dxa" w:w="1336"/>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1260"/>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326"/>
            <w:tcBorders>
              <w:top w:val="none"/>
              <w:left w:color="000001" w:space="0" w:sz="2" w:val="single"/>
              <w:bottom w:color="000001" w:space="0" w:sz="2" w:val="single"/>
              <w:right w:val="none"/>
            </w:tcBorders>
            <w:shd w:fill="FFFFFF" w:val="clear"/>
            <w:tcMar>
              <w:left w:type="dxa" w:w="54"/>
            </w:tcMar>
          </w:tcPr>
          <w:p>
            <w:pPr>
              <w:pStyle w:val="style38"/>
              <w:jc w:val="both"/>
            </w:pPr>
            <w:r>
              <w:rPr/>
              <w:t>5</w:t>
            </w:r>
          </w:p>
          <w:p>
            <w:pPr>
              <w:pStyle w:val="style38"/>
              <w:jc w:val="both"/>
            </w:pPr>
            <w:r>
              <w:rPr/>
              <w:t>.</w:t>
            </w:r>
          </w:p>
          <w:p>
            <w:pPr>
              <w:pStyle w:val="style38"/>
              <w:jc w:val="both"/>
            </w:pPr>
            <w:r>
              <w:rPr/>
              <w:t>.</w:t>
            </w:r>
          </w:p>
          <w:p>
            <w:pPr>
              <w:pStyle w:val="style38"/>
              <w:jc w:val="both"/>
            </w:pPr>
            <w:r>
              <w:rPr/>
              <w:t>.</w:t>
            </w:r>
          </w:p>
          <w:p>
            <w:pPr>
              <w:pStyle w:val="style38"/>
              <w:jc w:val="both"/>
            </w:pPr>
            <w:r>
              <w:rPr/>
              <w:t>.</w:t>
            </w:r>
          </w:p>
        </w:tc>
        <w:tc>
          <w:tcPr>
            <w:tcW w:type="dxa" w:w="4563"/>
            <w:tcBorders>
              <w:top w:val="none"/>
              <w:left w:color="000001" w:space="0" w:sz="2" w:val="single"/>
              <w:bottom w:color="000001" w:space="0" w:sz="2" w:val="single"/>
              <w:right w:val="none"/>
            </w:tcBorders>
            <w:shd w:fill="FFFFFF" w:val="clear"/>
            <w:tcMar>
              <w:left w:type="dxa" w:w="54"/>
            </w:tcMar>
          </w:tcPr>
          <w:p>
            <w:pPr>
              <w:pStyle w:val="style38"/>
              <w:jc w:val="both"/>
            </w:pPr>
            <w:r>
              <w:rPr/>
            </w:r>
          </w:p>
          <w:p>
            <w:pPr>
              <w:pStyle w:val="style38"/>
              <w:jc w:val="both"/>
            </w:pPr>
            <w:r>
              <w:rPr/>
            </w:r>
          </w:p>
          <w:p>
            <w:pPr>
              <w:pStyle w:val="style38"/>
              <w:jc w:val="both"/>
            </w:pPr>
            <w:r>
              <w:rPr/>
            </w:r>
          </w:p>
          <w:p>
            <w:pPr>
              <w:pStyle w:val="style38"/>
              <w:jc w:val="both"/>
            </w:pPr>
            <w:r>
              <w:rPr/>
            </w:r>
          </w:p>
          <w:p>
            <w:pPr>
              <w:pStyle w:val="style38"/>
              <w:jc w:val="both"/>
            </w:pPr>
            <w:r>
              <w:rPr/>
            </w:r>
          </w:p>
          <w:p>
            <w:pPr>
              <w:pStyle w:val="style38"/>
              <w:jc w:val="both"/>
            </w:pPr>
            <w:r>
              <w:rPr/>
            </w:r>
          </w:p>
          <w:p>
            <w:pPr>
              <w:pStyle w:val="style38"/>
              <w:jc w:val="both"/>
            </w:pPr>
            <w:r>
              <w:rPr/>
            </w:r>
          </w:p>
        </w:tc>
        <w:tc>
          <w:tcPr>
            <w:tcW w:type="dxa" w:w="1336"/>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1260"/>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2198"/>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bl>
    <w:p>
      <w:pPr>
        <w:pStyle w:val="style0"/>
        <w:jc w:val="both"/>
      </w:pPr>
      <w:r>
        <w:rPr/>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rPr>
        <w:t>..................................................................    ........................................................................................</w:t>
      </w:r>
    </w:p>
    <w:p>
      <w:pPr>
        <w:pStyle w:val="style0"/>
        <w:jc w:val="both"/>
      </w:pPr>
      <w:r>
        <w:rPr>
          <w:rFonts w:cs="Tahoma"/>
          <w:i/>
          <w:iCs/>
          <w:sz w:val="20"/>
          <w:szCs w:val="20"/>
        </w:rPr>
        <w:t xml:space="preserve">                  </w:t>
      </w:r>
      <w:r>
        <w:rPr>
          <w:rFonts w:cs="Tahoma"/>
          <w:i/>
          <w:iCs/>
          <w:sz w:val="20"/>
          <w:szCs w:val="20"/>
        </w:rPr>
        <w:t>miejscowość i data                                     podpisy osób uprawnionych do reprezentowania Wykonawcy</w:t>
      </w:r>
    </w:p>
    <w:p>
      <w:pPr>
        <w:pStyle w:val="style0"/>
        <w:jc w:val="both"/>
      </w:pPr>
      <w:r>
        <w:rPr>
          <w:rFonts w:cs="Tahoma"/>
          <w:b/>
          <w:bCs/>
        </w:rPr>
      </w:r>
    </w:p>
    <w:p>
      <w:pPr>
        <w:pStyle w:val="style0"/>
        <w:jc w:val="both"/>
      </w:pPr>
      <w:r>
        <w:rPr>
          <w:rFonts w:cs="Tahoma"/>
          <w:b/>
          <w:bCs/>
        </w:rPr>
      </w:r>
    </w:p>
    <w:p>
      <w:pPr>
        <w:pStyle w:val="style0"/>
        <w:jc w:val="both"/>
      </w:pPr>
      <w:r>
        <w:rPr>
          <w:rFonts w:cs="Tahoma"/>
          <w:i/>
          <w:iCs/>
          <w:u w:val="single"/>
        </w:rPr>
        <w:t>Uwaga:</w:t>
      </w:r>
      <w:r>
        <w:rPr>
          <w:rFonts w:cs="Tahoma"/>
          <w:i/>
          <w:iCs/>
        </w:rPr>
        <w:t xml:space="preserve"> do wykazu należy dołączyć dowody, czy wymienione w nim usługi zostały wykonane lub są wykonywane należycie.</w:t>
      </w:r>
    </w:p>
    <w:p>
      <w:pPr>
        <w:pStyle w:val="style0"/>
        <w:jc w:val="both"/>
      </w:pPr>
      <w:r>
        <w:rPr>
          <w:rFonts w:cs="Tahoma"/>
          <w:i/>
          <w:iCs/>
        </w:rPr>
      </w:r>
    </w:p>
    <w:p>
      <w:pPr>
        <w:sectPr>
          <w:footerReference r:id="rId11" w:type="default"/>
          <w:type w:val="nextPage"/>
          <w:pgSz w:h="16838" w:w="11906"/>
          <w:pgMar w:bottom="1648" w:footer="1134" w:gutter="0" w:header="0" w:left="1134" w:right="1134" w:top="1134"/>
          <w:pgNumType w:fmt="decimal"/>
          <w:formProt w:val="false"/>
          <w:textDirection w:val="lrTb"/>
          <w:docGrid w:charSpace="0" w:linePitch="360" w:type="default"/>
        </w:sectPr>
        <w:pStyle w:val="style0"/>
        <w:jc w:val="both"/>
      </w:pPr>
      <w:r>
        <w:rPr>
          <w:rFonts w:cs="Tahoma"/>
          <w:i/>
          <w:iCs/>
        </w:rPr>
      </w:r>
    </w:p>
    <w:p>
      <w:pPr>
        <w:pStyle w:val="style0"/>
        <w:jc w:val="both"/>
      </w:pPr>
      <w:r>
        <w:rPr>
          <w:rFonts w:cs="Tahoma"/>
          <w:b/>
          <w:bCs/>
        </w:rPr>
        <w:t>XXIV-38/01/16</w:t>
      </w:r>
      <w:r>
        <w:rPr>
          <w:rFonts w:cs="Tahoma"/>
        </w:rPr>
        <w:tab/>
        <w:tab/>
        <w:tab/>
        <w:tab/>
        <w:tab/>
        <w:tab/>
        <w:tab/>
      </w:r>
      <w:r>
        <w:rPr>
          <w:rFonts w:cs="Tahoma"/>
          <w:b/>
          <w:bCs/>
          <w:i/>
          <w:iCs/>
        </w:rPr>
        <w:t>ZAŁĄCZNIK NR 4 DO SIWZ</w:t>
      </w:r>
    </w:p>
    <w:p>
      <w:pPr>
        <w:pStyle w:val="style0"/>
        <w:jc w:val="both"/>
      </w:pPr>
      <w:r>
        <w:rPr>
          <w:rFonts w:cs="Tahoma"/>
          <w:b/>
          <w:bCs/>
          <w:i/>
          <w:iCs/>
        </w:rPr>
      </w:r>
    </w:p>
    <w:p>
      <w:pPr>
        <w:pStyle w:val="style0"/>
        <w:jc w:val="both"/>
      </w:pPr>
      <w:r>
        <w:rPr/>
      </w:r>
    </w:p>
    <w:p>
      <w:pPr>
        <w:pStyle w:val="style0"/>
        <w:jc w:val="both"/>
      </w:pPr>
      <w:r>
        <w:rPr/>
      </w:r>
    </w:p>
    <w:p>
      <w:pPr>
        <w:pStyle w:val="style0"/>
        <w:jc w:val="both"/>
      </w:pPr>
      <w:r>
        <w:rPr>
          <w:rFonts w:cs="Tahoma"/>
          <w:b/>
          <w:bCs/>
        </w:rPr>
        <w:t xml:space="preserve">OŚWIADCZENIE w zakresie art. 24 ust. 1 pzp. - </w:t>
      </w:r>
      <w:r>
        <w:rPr>
          <w:rFonts w:cs="Tahoma"/>
          <w:i/>
          <w:iCs/>
        </w:rPr>
        <w:t>wzór</w:t>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rPr>
        <w:t>..................................................................</w:t>
      </w:r>
    </w:p>
    <w:p>
      <w:pPr>
        <w:pStyle w:val="style0"/>
        <w:jc w:val="both"/>
      </w:pPr>
      <w:r>
        <w:rPr>
          <w:rFonts w:cs="Tahoma"/>
        </w:rPr>
        <w:tab/>
        <w:tab/>
      </w:r>
      <w:r>
        <w:rPr>
          <w:rFonts w:cs="Tahoma"/>
          <w:i/>
          <w:iCs/>
          <w:sz w:val="20"/>
          <w:szCs w:val="20"/>
        </w:rPr>
        <w:t>pieczęć Wykonawcy</w:t>
      </w:r>
    </w:p>
    <w:p>
      <w:pPr>
        <w:pStyle w:val="style0"/>
        <w:jc w:val="both"/>
      </w:pPr>
      <w:r>
        <w:rPr>
          <w:rFonts w:cs="Tahoma"/>
          <w:i/>
          <w:iCs/>
          <w:sz w:val="20"/>
          <w:szCs w:val="20"/>
        </w:rPr>
      </w:r>
    </w:p>
    <w:p>
      <w:pPr>
        <w:pStyle w:val="style0"/>
        <w:jc w:val="both"/>
      </w:pPr>
      <w:r>
        <w:rPr>
          <w:rFonts w:cs="Tahoma"/>
        </w:rPr>
      </w:r>
    </w:p>
    <w:p>
      <w:pPr>
        <w:pStyle w:val="style0"/>
        <w:jc w:val="both"/>
      </w:pPr>
      <w:r>
        <w:rPr/>
      </w:r>
    </w:p>
    <w:p>
      <w:pPr>
        <w:pStyle w:val="style0"/>
        <w:jc w:val="both"/>
      </w:pPr>
      <w:r>
        <w:rPr>
          <w:rFonts w:cs="Tahoma"/>
        </w:rPr>
        <w:t>Składając ofertę w postępowaniu o udzielenie zamówienia publicznego prowadzonym w trybie przetargu nieograniczonego na usługi sprzątania obiektów i utrzymania terenów zielonych (znak sprawy: XXIV-38/01/16) oświadczamy, że nie ma podstaw do wykluczenia nas z postępowania o udzielenie niniejszego zamówienia w okolicznościach, o których mowa w art. 24 ust.1 pzp.</w:t>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t>...................................................................</w:t>
        <w:tab/>
        <w:t xml:space="preserve">  ................................................................................</w:t>
      </w:r>
    </w:p>
    <w:p>
      <w:pPr>
        <w:pStyle w:val="style0"/>
      </w:pPr>
      <w:r>
        <w:rPr>
          <w:rFonts w:cs="Tahoma"/>
          <w:i/>
          <w:iCs/>
          <w:sz w:val="20"/>
          <w:szCs w:val="20"/>
        </w:rPr>
        <w:tab/>
        <w:tab/>
        <w:t>miejscowość i data</w:t>
        <w:tab/>
        <w:tab/>
        <w:t xml:space="preserve">  podpisy osób uprawnionych do reprezentowania  Wykonawcy</w:t>
      </w:r>
    </w:p>
    <w:p>
      <w:pPr>
        <w:sectPr>
          <w:footerReference r:id="rId12" w:type="default"/>
          <w:type w:val="nextPage"/>
          <w:pgSz w:h="16838" w:w="11906"/>
          <w:pgMar w:bottom="1648" w:footer="1134" w:gutter="0" w:header="0" w:left="1134" w:right="1134" w:top="1134"/>
          <w:pgNumType w:fmt="decimal"/>
          <w:formProt w:val="false"/>
          <w:textDirection w:val="lrTb"/>
          <w:docGrid w:charSpace="0" w:linePitch="360" w:type="default"/>
        </w:sectPr>
        <w:pStyle w:val="style0"/>
      </w:pPr>
      <w:r>
        <w:rPr>
          <w:rFonts w:cs="Tahoma"/>
          <w:i/>
          <w:iCs/>
          <w:sz w:val="20"/>
          <w:szCs w:val="20"/>
        </w:rPr>
      </w:r>
    </w:p>
    <w:p>
      <w:pPr>
        <w:pStyle w:val="style0"/>
        <w:jc w:val="both"/>
      </w:pPr>
      <w:r>
        <w:rPr>
          <w:rFonts w:cs="Tahoma"/>
          <w:b/>
          <w:bCs/>
          <w:color w:val="000000"/>
        </w:rPr>
        <w:t>XXIV-38/01/16</w:t>
      </w:r>
      <w:r>
        <w:rPr>
          <w:rFonts w:cs="Tahoma"/>
          <w:color w:val="0000FF"/>
        </w:rPr>
        <w:tab/>
      </w:r>
      <w:r>
        <w:rPr>
          <w:rFonts w:cs="Tahoma"/>
        </w:rPr>
        <w:tab/>
        <w:tab/>
        <w:tab/>
        <w:tab/>
        <w:tab/>
        <w:tab/>
      </w:r>
      <w:r>
        <w:rPr>
          <w:rFonts w:cs="Tahoma"/>
          <w:b/>
          <w:bCs/>
          <w:i/>
          <w:iCs/>
        </w:rPr>
        <w:t>ZAŁĄCZNIK NR 5 DO SIWZ</w:t>
      </w:r>
    </w:p>
    <w:p>
      <w:pPr>
        <w:pStyle w:val="style0"/>
        <w:jc w:val="both"/>
      </w:pPr>
      <w:r>
        <w:rPr>
          <w:rFonts w:cs="Tahoma"/>
          <w:b/>
          <w:bCs/>
          <w:i/>
          <w:iCs/>
        </w:rPr>
      </w:r>
    </w:p>
    <w:p>
      <w:pPr>
        <w:pStyle w:val="style0"/>
        <w:jc w:val="both"/>
      </w:pPr>
      <w:r>
        <w:rPr/>
      </w:r>
    </w:p>
    <w:p>
      <w:pPr>
        <w:pStyle w:val="style0"/>
        <w:jc w:val="both"/>
      </w:pPr>
      <w:r>
        <w:rPr/>
      </w:r>
    </w:p>
    <w:p>
      <w:pPr>
        <w:pStyle w:val="style0"/>
        <w:jc w:val="both"/>
      </w:pPr>
      <w:r>
        <w:rPr>
          <w:rFonts w:cs="Tahoma"/>
          <w:b/>
          <w:bCs/>
        </w:rPr>
        <w:t xml:space="preserve">INFORMACJA dotycząca przynależności do grupy kapitałowej (art. 26 ust. 2d pzp) - </w:t>
      </w:r>
      <w:r>
        <w:rPr>
          <w:rFonts w:cs="Tahoma"/>
          <w:i/>
          <w:iCs/>
        </w:rPr>
        <w:t>wzór</w:t>
      </w:r>
    </w:p>
    <w:p>
      <w:pPr>
        <w:pStyle w:val="style0"/>
        <w:jc w:val="both"/>
      </w:pPr>
      <w:r>
        <w:rPr>
          <w:rFonts w:cs="Tahoma"/>
          <w:b/>
          <w:bCs/>
        </w:rPr>
      </w:r>
    </w:p>
    <w:p>
      <w:pPr>
        <w:pStyle w:val="style0"/>
        <w:jc w:val="both"/>
      </w:pPr>
      <w:r>
        <w:rPr>
          <w:rFonts w:cs="Tahoma"/>
          <w:b/>
          <w:bCs/>
        </w:rPr>
      </w:r>
    </w:p>
    <w:p>
      <w:pPr>
        <w:pStyle w:val="style0"/>
        <w:jc w:val="both"/>
      </w:pPr>
      <w:r>
        <w:rPr>
          <w:rFonts w:cs="Tahoma"/>
          <w:b/>
          <w:bCs/>
        </w:rPr>
      </w:r>
    </w:p>
    <w:p>
      <w:pPr>
        <w:pStyle w:val="style0"/>
        <w:jc w:val="both"/>
      </w:pPr>
      <w:r>
        <w:rPr>
          <w:rFonts w:cs="Tahoma"/>
        </w:rPr>
      </w:r>
    </w:p>
    <w:p>
      <w:pPr>
        <w:pStyle w:val="style0"/>
        <w:jc w:val="both"/>
      </w:pPr>
      <w:r>
        <w:rPr>
          <w:rFonts w:cs="Tahoma"/>
        </w:rPr>
        <w:t>..................................................................</w:t>
      </w:r>
    </w:p>
    <w:p>
      <w:pPr>
        <w:pStyle w:val="style0"/>
        <w:jc w:val="both"/>
      </w:pPr>
      <w:r>
        <w:rPr>
          <w:rFonts w:cs="Tahoma"/>
        </w:rPr>
        <w:tab/>
        <w:tab/>
      </w:r>
      <w:r>
        <w:rPr>
          <w:rFonts w:cs="Tahoma"/>
          <w:i/>
          <w:iCs/>
          <w:sz w:val="20"/>
          <w:szCs w:val="20"/>
        </w:rPr>
        <w:t>pieczęć Wykonawcy</w:t>
      </w:r>
    </w:p>
    <w:p>
      <w:pPr>
        <w:pStyle w:val="style0"/>
        <w:jc w:val="both"/>
      </w:pPr>
      <w:r>
        <w:rPr>
          <w:rFonts w:cs="Tahoma"/>
          <w:i/>
          <w:iCs/>
          <w:sz w:val="20"/>
          <w:szCs w:val="20"/>
        </w:rPr>
      </w:r>
    </w:p>
    <w:p>
      <w:pPr>
        <w:pStyle w:val="style0"/>
        <w:jc w:val="both"/>
      </w:pPr>
      <w:r>
        <w:rPr>
          <w:rFonts w:cs="Tahoma"/>
        </w:rPr>
      </w:r>
    </w:p>
    <w:p>
      <w:pPr>
        <w:pStyle w:val="style0"/>
        <w:jc w:val="both"/>
      </w:pPr>
      <w:r>
        <w:rPr/>
      </w:r>
    </w:p>
    <w:p>
      <w:pPr>
        <w:pStyle w:val="style0"/>
        <w:jc w:val="both"/>
      </w:pPr>
      <w:r>
        <w:rPr>
          <w:rFonts w:cs="Tahoma"/>
        </w:rPr>
        <w:t xml:space="preserve">Składając ofertę w postępowaniu o udzielenie zamówienia publicznego prowadzonym w trybie przetargu nieograniczonego na usługi sprzątania obiektów i utrzymania terenów zielonych </w:t>
      </w:r>
      <w:r>
        <w:rPr>
          <w:rFonts w:cs="Tahoma"/>
          <w:color w:val="000000"/>
        </w:rPr>
        <w:t>(znak sprawy: XXIV-38/01/16):</w:t>
      </w:r>
    </w:p>
    <w:p>
      <w:pPr>
        <w:pStyle w:val="style0"/>
        <w:jc w:val="both"/>
      </w:pPr>
      <w:r>
        <w:rPr>
          <w:rFonts w:cs="Tahoma"/>
        </w:rPr>
      </w:r>
    </w:p>
    <w:p>
      <w:pPr>
        <w:pStyle w:val="style0"/>
        <w:jc w:val="both"/>
      </w:pPr>
      <w:r>
        <w:rPr>
          <w:rFonts w:cs="Tahoma"/>
          <w:b/>
          <w:bCs/>
          <w:color w:val="000000"/>
        </w:rPr>
        <w:t xml:space="preserve">1. </w:t>
      </w:r>
      <w:r>
        <w:rPr>
          <w:rFonts w:cs="Tahoma"/>
          <w:color w:val="000000"/>
        </w:rPr>
        <w:t>informujemy, że nie należymy do grupy kapitałowej, o której mowa w art. 24 ust. 2 pkt 5 ustawy Prawo zamówień publicznych.</w:t>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t>...................................................................</w:t>
        <w:tab/>
        <w:t xml:space="preserve">  ................................................................................</w:t>
      </w:r>
    </w:p>
    <w:p>
      <w:pPr>
        <w:pStyle w:val="style0"/>
        <w:jc w:val="both"/>
      </w:pPr>
      <w:r>
        <w:rPr>
          <w:rFonts w:cs="Tahoma"/>
          <w:i/>
          <w:iCs/>
          <w:sz w:val="20"/>
          <w:szCs w:val="20"/>
        </w:rPr>
        <w:tab/>
        <w:tab/>
        <w:t>miejscowość i data</w:t>
        <w:tab/>
        <w:tab/>
        <w:t xml:space="preserve">  podpisy osób uprawnionych do reprezentowania  Wykonawcy</w:t>
      </w:r>
    </w:p>
    <w:p>
      <w:pPr>
        <w:pStyle w:val="style0"/>
        <w:pBdr>
          <w:top w:val="none"/>
          <w:left w:val="none"/>
          <w:bottom w:color="000001" w:space="0" w:sz="2" w:val="double"/>
          <w:insideH w:color="000001" w:space="0" w:sz="2" w:val="double"/>
          <w:right w:val="none"/>
          <w:insideV w:val="none"/>
        </w:pBdr>
        <w:jc w:val="both"/>
      </w:pPr>
      <w:r>
        <w:rPr>
          <w:rFonts w:cs="Tahoma"/>
          <w:sz w:val="20"/>
          <w:szCs w:val="20"/>
        </w:rPr>
      </w:r>
    </w:p>
    <w:p>
      <w:pPr>
        <w:pStyle w:val="style0"/>
        <w:jc w:val="both"/>
      </w:pPr>
      <w:r>
        <w:rPr>
          <w:rFonts w:cs="Tahoma"/>
          <w:sz w:val="20"/>
          <w:szCs w:val="20"/>
        </w:rPr>
      </w:r>
    </w:p>
    <w:p>
      <w:pPr>
        <w:pStyle w:val="style0"/>
        <w:jc w:val="both"/>
      </w:pPr>
      <w:r>
        <w:rPr>
          <w:rFonts w:cs="Tahoma"/>
          <w:b/>
          <w:bCs/>
        </w:rPr>
        <w:t xml:space="preserve">2. </w:t>
      </w:r>
      <w:r>
        <w:rPr>
          <w:rFonts w:cs="Tahoma"/>
        </w:rPr>
        <w:t>przedkładamy listę podmiotów grupy kapitałowej, o której mowa w art. 24 ust. 2 pkt 5 ustawy Prawo zamówień publicznych, do której należymy:</w:t>
      </w:r>
    </w:p>
    <w:p>
      <w:pPr>
        <w:pStyle w:val="style0"/>
        <w:jc w:val="both"/>
      </w:pPr>
      <w:r>
        <w:rPr>
          <w:rFonts w:cs="Tahoma"/>
          <w:i/>
          <w:iCs/>
          <w:sz w:val="20"/>
          <w:szCs w:val="20"/>
        </w:rPr>
      </w:r>
    </w:p>
    <w:tbl>
      <w:tblPr>
        <w:jc w:val="left"/>
        <w:tblInd w:type="dxa" w:w="5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54"/>
          <w:bottom w:type="dxa" w:w="55"/>
          <w:right w:type="dxa" w:w="55"/>
        </w:tblCellMar>
      </w:tblPr>
      <w:tblGrid>
        <w:gridCol w:w="750"/>
        <w:gridCol w:w="4125"/>
        <w:gridCol w:w="4792"/>
      </w:tblGrid>
      <w:tr>
        <w:trPr>
          <w:cantSplit w:val="false"/>
        </w:trPr>
        <w:tc>
          <w:tcPr>
            <w:tcW w:type="dxa" w:w="750"/>
            <w:tcBorders>
              <w:top w:color="000001" w:space="0" w:sz="2" w:val="single"/>
              <w:left w:color="000001" w:space="0" w:sz="2" w:val="single"/>
              <w:bottom w:color="000001" w:space="0" w:sz="2" w:val="single"/>
              <w:right w:val="none"/>
            </w:tcBorders>
            <w:shd w:fill="E6E6FF" w:val="clear"/>
            <w:tcMar>
              <w:left w:type="dxa" w:w="54"/>
            </w:tcMar>
          </w:tcPr>
          <w:p>
            <w:pPr>
              <w:pStyle w:val="style38"/>
              <w:jc w:val="both"/>
            </w:pPr>
            <w:r>
              <w:rPr>
                <w:b/>
                <w:bCs/>
                <w:i/>
                <w:iCs/>
                <w:sz w:val="20"/>
                <w:szCs w:val="20"/>
              </w:rPr>
              <w:t>Lp</w:t>
            </w:r>
          </w:p>
        </w:tc>
        <w:tc>
          <w:tcPr>
            <w:tcW w:type="dxa" w:w="4125"/>
            <w:tcBorders>
              <w:top w:color="000001" w:space="0" w:sz="2" w:val="single"/>
              <w:left w:color="000001" w:space="0" w:sz="2" w:val="single"/>
              <w:bottom w:color="000001" w:space="0" w:sz="2" w:val="single"/>
              <w:right w:val="none"/>
            </w:tcBorders>
            <w:shd w:fill="E6E6FF" w:val="clear"/>
            <w:tcMar>
              <w:left w:type="dxa" w:w="54"/>
            </w:tcMar>
          </w:tcPr>
          <w:p>
            <w:pPr>
              <w:pStyle w:val="style38"/>
              <w:jc w:val="both"/>
            </w:pPr>
            <w:r>
              <w:rPr>
                <w:b/>
                <w:bCs/>
                <w:i/>
                <w:iCs/>
                <w:sz w:val="20"/>
                <w:szCs w:val="20"/>
              </w:rPr>
              <w:t>Nazwa podmiotu</w:t>
            </w:r>
          </w:p>
        </w:tc>
        <w:tc>
          <w:tcPr>
            <w:tcW w:type="dxa" w:w="4792"/>
            <w:tcBorders>
              <w:top w:color="000001" w:space="0" w:sz="2" w:val="single"/>
              <w:left w:color="000001" w:space="0" w:sz="2" w:val="single"/>
              <w:bottom w:color="000001" w:space="0" w:sz="2" w:val="single"/>
              <w:right w:color="000001" w:space="0" w:sz="2" w:val="single"/>
            </w:tcBorders>
            <w:shd w:fill="E6E6FF" w:val="clear"/>
            <w:tcMar>
              <w:left w:type="dxa" w:w="54"/>
            </w:tcMar>
          </w:tcPr>
          <w:p>
            <w:pPr>
              <w:pStyle w:val="style38"/>
              <w:jc w:val="both"/>
            </w:pPr>
            <w:r>
              <w:rPr>
                <w:b/>
                <w:bCs/>
                <w:i/>
                <w:iCs/>
                <w:sz w:val="20"/>
                <w:szCs w:val="20"/>
              </w:rPr>
              <w:t>Adres</w:t>
            </w:r>
          </w:p>
        </w:tc>
      </w:tr>
      <w:tr>
        <w:trPr>
          <w:cantSplit w:val="false"/>
        </w:trPr>
        <w:tc>
          <w:tcPr>
            <w:tcW w:type="dxa" w:w="750"/>
            <w:tcBorders>
              <w:top w:val="none"/>
              <w:left w:color="000001" w:space="0" w:sz="2" w:val="single"/>
              <w:bottom w:color="000001" w:space="0" w:sz="2" w:val="single"/>
              <w:right w:val="none"/>
            </w:tcBorders>
            <w:shd w:fill="FFFFFF" w:val="clear"/>
            <w:tcMar>
              <w:left w:type="dxa" w:w="54"/>
            </w:tcMar>
          </w:tcPr>
          <w:p>
            <w:pPr>
              <w:pStyle w:val="style38"/>
              <w:jc w:val="both"/>
            </w:pPr>
            <w:r>
              <w:rPr/>
              <w:t>1</w:t>
            </w:r>
          </w:p>
        </w:tc>
        <w:tc>
          <w:tcPr>
            <w:tcW w:type="dxa" w:w="4125"/>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4792"/>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750"/>
            <w:tcBorders>
              <w:top w:val="none"/>
              <w:left w:color="000001" w:space="0" w:sz="2" w:val="single"/>
              <w:bottom w:color="000001" w:space="0" w:sz="2" w:val="single"/>
              <w:right w:val="none"/>
            </w:tcBorders>
            <w:shd w:fill="FFFFFF" w:val="clear"/>
            <w:tcMar>
              <w:left w:type="dxa" w:w="54"/>
            </w:tcMar>
          </w:tcPr>
          <w:p>
            <w:pPr>
              <w:pStyle w:val="style38"/>
              <w:jc w:val="both"/>
            </w:pPr>
            <w:r>
              <w:rPr/>
              <w:t>2</w:t>
            </w:r>
          </w:p>
        </w:tc>
        <w:tc>
          <w:tcPr>
            <w:tcW w:type="dxa" w:w="4125"/>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4792"/>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750"/>
            <w:tcBorders>
              <w:top w:val="none"/>
              <w:left w:color="000001" w:space="0" w:sz="2" w:val="single"/>
              <w:bottom w:color="000001" w:space="0" w:sz="2" w:val="single"/>
              <w:right w:val="none"/>
            </w:tcBorders>
            <w:shd w:fill="FFFFFF" w:val="clear"/>
            <w:tcMar>
              <w:left w:type="dxa" w:w="54"/>
            </w:tcMar>
          </w:tcPr>
          <w:p>
            <w:pPr>
              <w:pStyle w:val="style38"/>
              <w:jc w:val="both"/>
            </w:pPr>
            <w:r>
              <w:rPr/>
              <w:t>3</w:t>
            </w:r>
          </w:p>
        </w:tc>
        <w:tc>
          <w:tcPr>
            <w:tcW w:type="dxa" w:w="4125"/>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4792"/>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r>
        <w:trPr>
          <w:cantSplit w:val="false"/>
        </w:trPr>
        <w:tc>
          <w:tcPr>
            <w:tcW w:type="dxa" w:w="750"/>
            <w:tcBorders>
              <w:top w:val="none"/>
              <w:left w:color="000001" w:space="0" w:sz="2" w:val="single"/>
              <w:bottom w:color="000001" w:space="0" w:sz="2" w:val="single"/>
              <w:right w:val="none"/>
            </w:tcBorders>
            <w:shd w:fill="FFFFFF" w:val="clear"/>
            <w:tcMar>
              <w:left w:type="dxa" w:w="54"/>
            </w:tcMar>
          </w:tcPr>
          <w:p>
            <w:pPr>
              <w:pStyle w:val="style38"/>
              <w:jc w:val="both"/>
            </w:pPr>
            <w:r>
              <w:rPr/>
              <w:t>4</w:t>
            </w:r>
          </w:p>
          <w:p>
            <w:pPr>
              <w:pStyle w:val="style38"/>
              <w:jc w:val="both"/>
            </w:pPr>
            <w:r>
              <w:rPr/>
              <w:t>.</w:t>
            </w:r>
          </w:p>
          <w:p>
            <w:pPr>
              <w:pStyle w:val="style38"/>
              <w:jc w:val="both"/>
            </w:pPr>
            <w:r>
              <w:rPr/>
              <w:t>.</w:t>
            </w:r>
          </w:p>
        </w:tc>
        <w:tc>
          <w:tcPr>
            <w:tcW w:type="dxa" w:w="4125"/>
            <w:tcBorders>
              <w:top w:val="none"/>
              <w:left w:color="000001" w:space="0" w:sz="2" w:val="single"/>
              <w:bottom w:color="000001" w:space="0" w:sz="2" w:val="single"/>
              <w:right w:val="none"/>
            </w:tcBorders>
            <w:shd w:fill="FFFFFF" w:val="clear"/>
            <w:tcMar>
              <w:left w:type="dxa" w:w="54"/>
            </w:tcMar>
          </w:tcPr>
          <w:p>
            <w:pPr>
              <w:pStyle w:val="style38"/>
              <w:jc w:val="both"/>
            </w:pPr>
            <w:r>
              <w:rPr/>
            </w:r>
          </w:p>
        </w:tc>
        <w:tc>
          <w:tcPr>
            <w:tcW w:type="dxa" w:w="4792"/>
            <w:tcBorders>
              <w:top w:val="none"/>
              <w:left w:color="000001" w:space="0" w:sz="2" w:val="single"/>
              <w:bottom w:color="000001" w:space="0" w:sz="2" w:val="single"/>
              <w:right w:color="000001" w:space="0" w:sz="2" w:val="single"/>
            </w:tcBorders>
            <w:shd w:fill="FFFFFF" w:val="clear"/>
            <w:tcMar>
              <w:left w:type="dxa" w:w="54"/>
            </w:tcMar>
          </w:tcPr>
          <w:p>
            <w:pPr>
              <w:pStyle w:val="style38"/>
              <w:jc w:val="both"/>
            </w:pPr>
            <w:r>
              <w:rPr/>
            </w:r>
          </w:p>
        </w:tc>
      </w:tr>
    </w:tbl>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Tahoma"/>
        </w:rPr>
        <w:t>...................................................................</w:t>
        <w:tab/>
        <w:t xml:space="preserve">  ................................................................................</w:t>
      </w:r>
    </w:p>
    <w:p>
      <w:pPr>
        <w:pStyle w:val="style0"/>
        <w:jc w:val="both"/>
      </w:pPr>
      <w:r>
        <w:rPr>
          <w:rFonts w:cs="Tahoma"/>
          <w:i/>
          <w:iCs/>
          <w:sz w:val="20"/>
          <w:szCs w:val="20"/>
        </w:rPr>
        <w:tab/>
        <w:tab/>
        <w:t>miejscowość i data</w:t>
        <w:tab/>
        <w:tab/>
        <w:t xml:space="preserve">  podpisy osób uprawnionych do reprezentowania  Wykonawcy</w:t>
      </w:r>
    </w:p>
    <w:p>
      <w:pPr>
        <w:pStyle w:val="style0"/>
        <w:jc w:val="both"/>
      </w:pPr>
      <w:r>
        <w:rPr>
          <w:rFonts w:cs="Tahoma"/>
          <w:i/>
          <w:iCs/>
          <w:sz w:val="20"/>
          <w:szCs w:val="20"/>
        </w:rPr>
      </w:r>
    </w:p>
    <w:p>
      <w:pPr>
        <w:pStyle w:val="style0"/>
        <w:jc w:val="both"/>
      </w:pPr>
      <w:r>
        <w:rPr>
          <w:rFonts w:cs="Tahoma"/>
          <w:i/>
          <w:iCs/>
          <w:u w:val="single"/>
        </w:rPr>
        <w:t>Uwaga:</w:t>
      </w:r>
      <w:r>
        <w:rPr>
          <w:rFonts w:cs="Tahoma"/>
        </w:rPr>
        <w:t xml:space="preserve"> należy wypełnić pkt 1 albo pkt 2</w:t>
      </w:r>
    </w:p>
    <w:p>
      <w:pPr>
        <w:sectPr>
          <w:footerReference r:id="rId13" w:type="default"/>
          <w:type w:val="nextPage"/>
          <w:pgSz w:h="16838" w:w="11906"/>
          <w:pgMar w:bottom="1648" w:footer="1134" w:gutter="0" w:header="0" w:left="1134" w:right="1134" w:top="1134"/>
          <w:pgNumType w:fmt="decimal"/>
          <w:formProt w:val="false"/>
          <w:textDirection w:val="lrTb"/>
          <w:docGrid w:charSpace="0" w:linePitch="360" w:type="default"/>
        </w:sectPr>
        <w:pStyle w:val="style0"/>
      </w:pPr>
      <w:r>
        <w:rPr/>
      </w:r>
    </w:p>
    <w:p>
      <w:pPr>
        <w:pStyle w:val="style0"/>
        <w:jc w:val="both"/>
      </w:pPr>
      <w:r>
        <w:rPr>
          <w:rFonts w:cs="Tahoma"/>
          <w:b/>
          <w:bCs/>
        </w:rPr>
        <w:t>XXIV-38/01/16</w:t>
        <w:tab/>
        <w:tab/>
        <w:tab/>
        <w:tab/>
        <w:tab/>
        <w:tab/>
        <w:tab/>
      </w:r>
      <w:r>
        <w:rPr>
          <w:rFonts w:cs="Tahoma"/>
          <w:b/>
          <w:bCs/>
          <w:i/>
          <w:iCs/>
        </w:rPr>
        <w:t>ZAŁĄCZNIK NR 6 DO SIWZ</w:t>
      </w:r>
    </w:p>
    <w:p>
      <w:pPr>
        <w:pStyle w:val="style0"/>
        <w:jc w:val="both"/>
      </w:pPr>
      <w:r>
        <w:rPr/>
      </w:r>
    </w:p>
    <w:p>
      <w:pPr>
        <w:pStyle w:val="style0"/>
        <w:jc w:val="both"/>
      </w:pPr>
      <w:r>
        <w:rPr>
          <w:rFonts w:cs="Tahoma"/>
          <w:b/>
          <w:bCs/>
        </w:rPr>
        <w:t>FORMULARZ OFERTOWY –</w:t>
      </w:r>
      <w:r>
        <w:rPr>
          <w:rFonts w:cs="Tahoma"/>
        </w:rPr>
        <w:t xml:space="preserve"> </w:t>
      </w:r>
      <w:r>
        <w:rPr>
          <w:rFonts w:cs="Tahoma"/>
          <w:i/>
          <w:iCs/>
        </w:rPr>
        <w:t>wzór</w:t>
      </w:r>
    </w:p>
    <w:p>
      <w:pPr>
        <w:pStyle w:val="style0"/>
        <w:jc w:val="both"/>
      </w:pPr>
      <w:r>
        <w:rPr>
          <w:rFonts w:cs="Tahoma"/>
          <w:i/>
          <w:iCs/>
        </w:rPr>
      </w:r>
    </w:p>
    <w:p>
      <w:pPr>
        <w:pStyle w:val="style0"/>
        <w:jc w:val="both"/>
      </w:pPr>
      <w:r>
        <w:rPr>
          <w:rFonts w:cs="Tahoma"/>
          <w:b/>
          <w:bCs/>
        </w:rPr>
        <w:t>1. Dane dotyczące Wykonawcy:</w:t>
      </w:r>
    </w:p>
    <w:p>
      <w:pPr>
        <w:pStyle w:val="style0"/>
        <w:jc w:val="both"/>
      </w:pPr>
      <w:r>
        <w:rPr>
          <w:rFonts w:cs="Tahoma"/>
        </w:rPr>
      </w:r>
    </w:p>
    <w:p>
      <w:pPr>
        <w:pStyle w:val="style39"/>
        <w:numPr>
          <w:ilvl w:val="1"/>
          <w:numId w:val="12"/>
        </w:numPr>
        <w:jc w:val="both"/>
      </w:pPr>
      <w:r>
        <w:rPr>
          <w:rFonts w:cs="Tahoma"/>
        </w:rPr>
        <w:t xml:space="preserve"> </w:t>
      </w:r>
      <w:r>
        <w:rPr>
          <w:rFonts w:cs="Tahoma"/>
        </w:rPr>
        <w:t>Nazwa .........................................................................................................................................</w:t>
      </w:r>
    </w:p>
    <w:p>
      <w:pPr>
        <w:pStyle w:val="style0"/>
        <w:jc w:val="both"/>
      </w:pPr>
      <w:r>
        <w:rPr>
          <w:rFonts w:cs="Tahoma"/>
        </w:rPr>
      </w:r>
    </w:p>
    <w:p>
      <w:pPr>
        <w:pStyle w:val="style39"/>
        <w:numPr>
          <w:ilvl w:val="1"/>
          <w:numId w:val="12"/>
        </w:numPr>
        <w:jc w:val="both"/>
      </w:pPr>
      <w:r>
        <w:rPr>
          <w:rFonts w:cs="Tahoma"/>
        </w:rPr>
        <w:t xml:space="preserve"> </w:t>
      </w:r>
      <w:r>
        <w:rPr>
          <w:rFonts w:cs="Tahoma"/>
        </w:rPr>
        <w:t>Siedziba ......................................................................................................................................</w:t>
      </w:r>
    </w:p>
    <w:p>
      <w:pPr>
        <w:pStyle w:val="style0"/>
        <w:jc w:val="both"/>
      </w:pPr>
      <w:r>
        <w:rPr/>
      </w:r>
    </w:p>
    <w:p>
      <w:pPr>
        <w:pStyle w:val="style39"/>
        <w:numPr>
          <w:ilvl w:val="1"/>
          <w:numId w:val="12"/>
        </w:numPr>
        <w:jc w:val="both"/>
      </w:pPr>
      <w:r>
        <w:rPr>
          <w:rFonts w:cs="Tahoma"/>
        </w:rPr>
        <w:t xml:space="preserve"> </w:t>
      </w:r>
      <w:r>
        <w:rPr>
          <w:rFonts w:cs="Tahoma"/>
        </w:rPr>
        <w:t xml:space="preserve">Nr REGON ....................................................... </w:t>
      </w:r>
      <w:r>
        <w:rPr>
          <w:rFonts w:cs="Tahoma"/>
          <w:b/>
          <w:bCs/>
        </w:rPr>
        <w:t xml:space="preserve"> 1.4. </w:t>
      </w:r>
      <w:r>
        <w:rPr>
          <w:rFonts w:cs="Tahoma"/>
        </w:rPr>
        <w:t>Nr NIP .....................................................</w:t>
      </w:r>
    </w:p>
    <w:p>
      <w:pPr>
        <w:pStyle w:val="style0"/>
        <w:jc w:val="both"/>
      </w:pPr>
      <w:r>
        <w:rPr>
          <w:b/>
          <w:bCs/>
        </w:rPr>
      </w:r>
    </w:p>
    <w:p>
      <w:pPr>
        <w:pStyle w:val="style0"/>
        <w:jc w:val="both"/>
      </w:pPr>
      <w:r>
        <w:rPr>
          <w:rFonts w:cs="Tahoma"/>
          <w:b/>
          <w:bCs/>
        </w:rPr>
        <w:t xml:space="preserve">1.5. </w:t>
      </w:r>
      <w:r>
        <w:rPr>
          <w:rFonts w:cs="Tahoma"/>
        </w:rPr>
        <w:t xml:space="preserve">Strona internetowa ............................................. </w:t>
      </w:r>
      <w:r>
        <w:rPr>
          <w:rFonts w:cs="Tahoma"/>
          <w:b/>
          <w:bCs/>
        </w:rPr>
        <w:t xml:space="preserve">1.6. </w:t>
      </w:r>
      <w:r>
        <w:rPr>
          <w:rFonts w:cs="Tahoma"/>
        </w:rPr>
        <w:t>Nr telefonu ..............................................</w:t>
      </w:r>
    </w:p>
    <w:p>
      <w:pPr>
        <w:pStyle w:val="style0"/>
        <w:jc w:val="both"/>
      </w:pPr>
      <w:r>
        <w:rPr>
          <w:b/>
          <w:bCs/>
        </w:rPr>
      </w:r>
    </w:p>
    <w:p>
      <w:pPr>
        <w:pStyle w:val="style0"/>
        <w:jc w:val="both"/>
      </w:pPr>
      <w:r>
        <w:rPr>
          <w:rFonts w:cs="Tahoma"/>
          <w:b/>
          <w:bCs/>
        </w:rPr>
        <w:t>2. Dane Wykonawcy do korespondencji:</w:t>
      </w:r>
    </w:p>
    <w:p>
      <w:pPr>
        <w:pStyle w:val="style0"/>
        <w:jc w:val="both"/>
      </w:pPr>
      <w:r>
        <w:rPr>
          <w:b/>
          <w:bCs/>
        </w:rPr>
      </w:r>
    </w:p>
    <w:p>
      <w:pPr>
        <w:pStyle w:val="style0"/>
        <w:jc w:val="both"/>
      </w:pPr>
      <w:r>
        <w:rPr>
          <w:rFonts w:cs="Tahoma"/>
          <w:b/>
          <w:bCs/>
        </w:rPr>
        <w:t xml:space="preserve">2.1. </w:t>
      </w:r>
      <w:r>
        <w:rPr>
          <w:rFonts w:cs="Tahoma"/>
        </w:rPr>
        <w:t>Nazwa ........................................................................................................................................</w:t>
      </w:r>
    </w:p>
    <w:p>
      <w:pPr>
        <w:pStyle w:val="style0"/>
        <w:jc w:val="both"/>
      </w:pPr>
      <w:r>
        <w:rPr>
          <w:b/>
          <w:bCs/>
        </w:rPr>
      </w:r>
    </w:p>
    <w:p>
      <w:pPr>
        <w:pStyle w:val="style0"/>
        <w:jc w:val="both"/>
      </w:pPr>
      <w:r>
        <w:rPr>
          <w:rFonts w:cs="Tahoma"/>
          <w:b/>
          <w:bCs/>
        </w:rPr>
        <w:t xml:space="preserve">2.2. </w:t>
      </w:r>
      <w:r>
        <w:rPr>
          <w:rFonts w:cs="Tahoma"/>
        </w:rPr>
        <w:t>Adres ..........................................................................................................................................</w:t>
      </w:r>
    </w:p>
    <w:p>
      <w:pPr>
        <w:pStyle w:val="style0"/>
        <w:jc w:val="both"/>
      </w:pPr>
      <w:r>
        <w:rPr>
          <w:rFonts w:cs="Tahoma"/>
        </w:rPr>
      </w:r>
    </w:p>
    <w:p>
      <w:pPr>
        <w:pStyle w:val="style0"/>
        <w:jc w:val="both"/>
      </w:pPr>
      <w:r>
        <w:rPr>
          <w:rFonts w:cs="Tahoma"/>
          <w:b/>
          <w:bCs/>
        </w:rPr>
        <w:t xml:space="preserve">2.3. </w:t>
      </w:r>
      <w:r>
        <w:rPr>
          <w:rFonts w:cs="Tahoma"/>
        </w:rPr>
        <w:t>Adres poczty elektronicznej ......................................................................................................</w:t>
      </w:r>
    </w:p>
    <w:p>
      <w:pPr>
        <w:pStyle w:val="style0"/>
        <w:jc w:val="both"/>
      </w:pPr>
      <w:r>
        <w:rPr>
          <w:rFonts w:cs="Tahoma"/>
        </w:rPr>
      </w:r>
    </w:p>
    <w:p>
      <w:pPr>
        <w:pStyle w:val="style0"/>
        <w:jc w:val="both"/>
      </w:pPr>
      <w:r>
        <w:rPr>
          <w:rFonts w:cs="Tahoma"/>
          <w:b/>
          <w:bCs/>
        </w:rPr>
        <w:t xml:space="preserve">2.4. </w:t>
      </w:r>
      <w:r>
        <w:rPr>
          <w:rFonts w:cs="Tahoma"/>
        </w:rPr>
        <w:t>Nr faksu .....................................................................................................................................</w:t>
      </w:r>
    </w:p>
    <w:p>
      <w:pPr>
        <w:pStyle w:val="style0"/>
        <w:jc w:val="both"/>
      </w:pPr>
      <w:r>
        <w:rPr>
          <w:rFonts w:cs="Tahoma"/>
        </w:rPr>
      </w:r>
    </w:p>
    <w:p>
      <w:pPr>
        <w:pStyle w:val="style0"/>
        <w:jc w:val="both"/>
      </w:pPr>
      <w:r>
        <w:rPr>
          <w:rFonts w:cs="Tahoma"/>
          <w:b/>
          <w:bCs/>
        </w:rPr>
        <w:t>3. Zamawiający:</w:t>
      </w:r>
    </w:p>
    <w:p>
      <w:pPr>
        <w:pStyle w:val="style0"/>
        <w:jc w:val="both"/>
      </w:pPr>
      <w:r>
        <w:rPr>
          <w:rFonts w:cs="Tahoma"/>
        </w:rPr>
        <w:t>Polskie Radio – Regionalna Rozgłośnia w Olsztynie „Radio Olsztyn” SA</w:t>
      </w:r>
    </w:p>
    <w:p>
      <w:pPr>
        <w:pStyle w:val="style0"/>
        <w:jc w:val="both"/>
      </w:pPr>
      <w:r>
        <w:rPr>
          <w:rFonts w:cs="Tahoma"/>
        </w:rPr>
        <w:t>10-206 Olsztyn, ul. Radiowa 24.</w:t>
      </w:r>
    </w:p>
    <w:p>
      <w:pPr>
        <w:pStyle w:val="style0"/>
        <w:jc w:val="both"/>
      </w:pPr>
      <w:r>
        <w:rPr>
          <w:rFonts w:cs="Tahoma"/>
        </w:rPr>
      </w:r>
    </w:p>
    <w:p>
      <w:pPr>
        <w:pStyle w:val="style0"/>
        <w:jc w:val="both"/>
      </w:pPr>
      <w:r>
        <w:rPr>
          <w:rFonts w:cs="Tahoma"/>
          <w:b/>
          <w:bCs/>
        </w:rPr>
        <w:t>4. Zobowiązania i oświadczenia wykonawcy:</w:t>
      </w:r>
    </w:p>
    <w:p>
      <w:pPr>
        <w:pStyle w:val="style0"/>
        <w:jc w:val="both"/>
      </w:pPr>
      <w:r>
        <w:rPr>
          <w:rFonts w:cs="Tahoma"/>
          <w:b/>
          <w:bCs/>
        </w:rPr>
        <w:t xml:space="preserve">4.1. </w:t>
      </w:r>
      <w:r>
        <w:rPr>
          <w:rFonts w:cs="Tahoma"/>
        </w:rPr>
        <w:t xml:space="preserve">Składając ofertę w postępowaniu o zamówienie publiczne prowadzonym w trybie przetargu nieograniczonego na usługi sprzątania obiektów i utrzymania terenów zielonych (znak sprawy: </w:t>
      </w:r>
    </w:p>
    <w:p>
      <w:pPr>
        <w:pStyle w:val="style0"/>
        <w:spacing w:after="0" w:before="120"/>
        <w:contextualSpacing w:val="false"/>
        <w:jc w:val="both"/>
      </w:pPr>
      <w:r>
        <w:rPr>
          <w:rFonts w:cs="Tahoma"/>
        </w:rPr>
        <w:t>XXIV – 38/01/16), wykonawca oferuje wykonanie zamówienia za cenę (brutto): ............................ zł</w:t>
      </w:r>
    </w:p>
    <w:p>
      <w:pPr>
        <w:pStyle w:val="style0"/>
        <w:spacing w:after="0" w:before="120"/>
        <w:contextualSpacing w:val="false"/>
        <w:jc w:val="both"/>
      </w:pPr>
      <w:r>
        <w:rPr>
          <w:rFonts w:cs="Tahoma"/>
        </w:rPr>
        <w:t>(słownie: ..................................................................................................................... zł.), w tym:</w:t>
      </w:r>
    </w:p>
    <w:p>
      <w:pPr>
        <w:pStyle w:val="style0"/>
        <w:spacing w:after="0" w:before="120"/>
        <w:ind w:hanging="0" w:left="170" w:right="0"/>
        <w:contextualSpacing w:val="false"/>
        <w:jc w:val="both"/>
      </w:pPr>
      <w:r>
        <w:rPr>
          <w:rFonts w:cs="Tahoma"/>
          <w:b/>
          <w:bCs/>
        </w:rPr>
        <w:t xml:space="preserve">4.1.1. </w:t>
      </w:r>
      <w:r>
        <w:rPr>
          <w:rFonts w:cs="Tahoma"/>
        </w:rPr>
        <w:t>Cena (brutto) za sprzątanie pomieszczeń budynku głównego i budynku zaplecza</w:t>
      </w:r>
    </w:p>
    <w:p>
      <w:pPr>
        <w:pStyle w:val="style0"/>
        <w:spacing w:after="0" w:before="120"/>
        <w:ind w:hanging="0" w:left="170" w:right="0"/>
        <w:contextualSpacing w:val="false"/>
        <w:jc w:val="both"/>
      </w:pPr>
      <w:r>
        <w:rPr>
          <w:rFonts w:cs="Tahoma"/>
        </w:rPr>
        <w:t>technicznego: .............................. zł, ze stawką VAT: ........ %;</w:t>
      </w:r>
    </w:p>
    <w:p>
      <w:pPr>
        <w:pStyle w:val="style0"/>
        <w:spacing w:after="0" w:before="120"/>
        <w:ind w:hanging="0" w:left="170" w:right="0"/>
        <w:contextualSpacing w:val="false"/>
        <w:jc w:val="both"/>
      </w:pPr>
      <w:r>
        <w:rPr>
          <w:rFonts w:cs="Tahoma"/>
          <w:b/>
          <w:bCs/>
        </w:rPr>
        <w:t xml:space="preserve">4.1.2. </w:t>
      </w:r>
      <w:r>
        <w:rPr>
          <w:rFonts w:cs="Tahoma"/>
        </w:rPr>
        <w:t>Cena (brutto) za sprzątanie i odśnieżanie parkingów, usuwanie śniegu z dachu budynku</w:t>
      </w:r>
    </w:p>
    <w:p>
      <w:pPr>
        <w:pStyle w:val="style0"/>
        <w:spacing w:after="0" w:before="120"/>
        <w:ind w:hanging="0" w:left="170" w:right="0"/>
        <w:contextualSpacing w:val="false"/>
        <w:jc w:val="both"/>
      </w:pPr>
      <w:r>
        <w:rPr>
          <w:rFonts w:cs="Tahoma"/>
        </w:rPr>
        <w:t>głównego i wywóz śniegu: ..................... zł, ze stawką VAT: ........ %;</w:t>
      </w:r>
    </w:p>
    <w:p>
      <w:pPr>
        <w:pStyle w:val="style0"/>
        <w:spacing w:after="0" w:before="120"/>
        <w:ind w:hanging="0" w:left="170" w:right="0"/>
        <w:contextualSpacing w:val="false"/>
        <w:jc w:val="both"/>
      </w:pPr>
      <w:r>
        <w:rPr>
          <w:rFonts w:cs="Tahoma"/>
          <w:b/>
          <w:bCs/>
        </w:rPr>
        <w:t xml:space="preserve">4.1.3. </w:t>
      </w:r>
      <w:r>
        <w:rPr>
          <w:rFonts w:cs="Tahoma"/>
        </w:rPr>
        <w:t>Cena (brutto) za utrzymanie terenów zielonych i wywóz odpadów zielonych: ................ zł,</w:t>
      </w:r>
    </w:p>
    <w:p>
      <w:pPr>
        <w:pStyle w:val="style0"/>
        <w:spacing w:after="0" w:before="120"/>
        <w:ind w:hanging="0" w:left="170" w:right="0"/>
        <w:contextualSpacing w:val="false"/>
        <w:jc w:val="both"/>
      </w:pPr>
      <w:r>
        <w:rPr>
          <w:rFonts w:cs="Tahoma"/>
        </w:rPr>
        <w:t>ze stawką VAT: ........ %.</w:t>
      </w:r>
    </w:p>
    <w:p>
      <w:pPr>
        <w:pStyle w:val="style0"/>
        <w:spacing w:after="0" w:before="120"/>
        <w:contextualSpacing w:val="false"/>
        <w:jc w:val="both"/>
      </w:pPr>
      <w:r>
        <w:rPr>
          <w:rFonts w:cs="Tahoma"/>
          <w:b/>
          <w:bCs/>
        </w:rPr>
        <w:t>4</w:t>
      </w:r>
      <w:r>
        <w:rPr>
          <w:rFonts w:cs="Tahoma"/>
          <w:b/>
          <w:bCs/>
          <w:color w:val="000000"/>
        </w:rPr>
        <w:t xml:space="preserve">.2. </w:t>
      </w:r>
      <w:r>
        <w:rPr>
          <w:rFonts w:cs="Tahoma"/>
          <w:color w:val="000000"/>
        </w:rPr>
        <w:t>Cena podana w punkcie 4.1 jest łączną ceną za okres objęty umową tj. od 01.04.2016 do 31.03.2018 roku i stanowi sumę cen brutto z punktów 4.1.1; 4.1.2; 4.1.3 oraz zawiera wszystkie ewentualne podatki i opłaty.</w:t>
      </w:r>
    </w:p>
    <w:p>
      <w:pPr>
        <w:pStyle w:val="style0"/>
        <w:spacing w:after="60" w:before="0"/>
        <w:contextualSpacing w:val="false"/>
        <w:jc w:val="both"/>
      </w:pPr>
      <w:r>
        <w:rPr>
          <w:rFonts w:cs="Tahoma"/>
          <w:color w:val="000000"/>
          <w:u w:val="single"/>
        </w:rPr>
        <w:t>OPCJA 1*</w:t>
      </w:r>
      <w:r>
        <w:rPr>
          <w:rFonts w:cs="Tahoma"/>
          <w:color w:val="000000"/>
        </w:rPr>
        <w:t xml:space="preserve"> </w:t>
        <w:tab/>
      </w:r>
      <w:r>
        <w:rPr>
          <w:b/>
          <w:color w:val="000000"/>
          <w:sz w:val="40"/>
          <w:szCs w:val="40"/>
        </w:rPr>
        <w:t>□</w:t>
      </w:r>
    </w:p>
    <w:p>
      <w:pPr>
        <w:pStyle w:val="style0"/>
        <w:ind w:hanging="0" w:left="170" w:right="0"/>
        <w:jc w:val="both"/>
      </w:pPr>
      <w:r>
        <w:rPr>
          <w:rFonts w:cs="Tahoma"/>
          <w:b/>
          <w:bCs/>
        </w:rPr>
        <w:t xml:space="preserve">4.3. </w:t>
      </w:r>
      <w:r>
        <w:rPr>
          <w:rFonts w:cs="Tahoma"/>
          <w:bCs/>
        </w:rPr>
        <w:t>Wykonawca oświadcza, że zamówienie lub jego część będzie wykonywane bezpośrednio przez ………… (podać liczbę osób) pracowników zatrudnionych na podstawie umów o pracę.</w:t>
      </w:r>
    </w:p>
    <w:p>
      <w:pPr>
        <w:pStyle w:val="style0"/>
        <w:ind w:hanging="0" w:left="170" w:right="0"/>
        <w:jc w:val="both"/>
      </w:pPr>
      <w:r>
        <w:rPr>
          <w:rFonts w:cs="Tahoma"/>
          <w:b/>
        </w:rPr>
        <w:t>4.3.1.</w:t>
      </w:r>
      <w:r>
        <w:rPr>
          <w:rFonts w:cs="Tahoma"/>
        </w:rPr>
        <w:t xml:space="preserve"> Łączny wymiar czasu pracy pracowników, o których mowa w punkcie 4.3., </w:t>
      </w:r>
      <w:r>
        <w:rPr>
          <w:rFonts w:cs="Tahoma"/>
          <w:u w:val="single"/>
        </w:rPr>
        <w:t>przy bezpośredniej realizacji przedmiotu zamówienia lub jego części</w:t>
      </w:r>
      <w:r>
        <w:rPr>
          <w:rFonts w:cs="Tahoma"/>
        </w:rPr>
        <w:t>, wynosi …………. (podać sumę) etatów.</w:t>
      </w:r>
    </w:p>
    <w:p>
      <w:pPr>
        <w:pStyle w:val="style0"/>
        <w:spacing w:after="60" w:before="0"/>
        <w:ind w:hanging="0" w:left="170" w:right="0"/>
        <w:contextualSpacing w:val="false"/>
        <w:jc w:val="both"/>
      </w:pPr>
      <w:r>
        <w:rPr>
          <w:rFonts w:cs="Tahoma"/>
          <w:b/>
        </w:rPr>
        <w:t>4.3.2.</w:t>
      </w:r>
      <w:r>
        <w:rPr>
          <w:rFonts w:cs="Tahoma"/>
        </w:rPr>
        <w:t xml:space="preserve"> Łączne wynagrodzenie miesięczne pracowników, o których mowa w punkcie 4.3., </w:t>
      </w:r>
      <w:r>
        <w:rPr>
          <w:rFonts w:cs="Tahoma"/>
          <w:u w:val="single"/>
        </w:rPr>
        <w:t>za bezpośrednie wykonywanie przedmiotu zamówienia lub jego części</w:t>
      </w:r>
      <w:r>
        <w:rPr>
          <w:rFonts w:cs="Tahoma"/>
        </w:rPr>
        <w:t>, wynosi ………… zł.</w:t>
      </w:r>
    </w:p>
    <w:p>
      <w:pPr>
        <w:pStyle w:val="style0"/>
        <w:spacing w:after="60" w:before="0"/>
        <w:contextualSpacing w:val="false"/>
        <w:jc w:val="both"/>
      </w:pPr>
      <w:r>
        <w:rPr>
          <w:rFonts w:cs="Tahoma"/>
          <w:color w:val="000000"/>
          <w:u w:val="single"/>
        </w:rPr>
        <w:t>OPCJA 2*</w:t>
      </w:r>
      <w:r>
        <w:rPr>
          <w:rFonts w:cs="Tahoma"/>
          <w:color w:val="000000"/>
        </w:rPr>
        <w:t xml:space="preserve"> </w:t>
        <w:tab/>
      </w:r>
      <w:r>
        <w:rPr>
          <w:b/>
          <w:color w:val="000000"/>
          <w:sz w:val="40"/>
          <w:szCs w:val="40"/>
        </w:rPr>
        <w:t>□</w:t>
      </w:r>
    </w:p>
    <w:p>
      <w:pPr>
        <w:pStyle w:val="style0"/>
        <w:ind w:hanging="0" w:left="170" w:right="0"/>
        <w:jc w:val="both"/>
      </w:pPr>
      <w:r>
        <w:rPr>
          <w:b/>
          <w:color w:val="000000"/>
        </w:rPr>
        <w:t>4.4.</w:t>
      </w:r>
      <w:r>
        <w:rPr>
          <w:rFonts w:cs="Tahoma"/>
          <w:bCs/>
        </w:rPr>
        <w:t xml:space="preserve"> Wykonawca oświadcza, że zamówienie lub jego część nie będzie wykonywane bezpośrednio przez osoby zatrudnione na podstawie umów o pracę.</w:t>
      </w:r>
    </w:p>
    <w:p>
      <w:pPr>
        <w:pStyle w:val="style0"/>
        <w:spacing w:after="0" w:before="120"/>
        <w:contextualSpacing w:val="false"/>
        <w:jc w:val="both"/>
      </w:pPr>
      <w:r>
        <w:rPr>
          <w:rFonts w:cs="Tahoma"/>
          <w:bCs/>
          <w:i/>
          <w:sz w:val="22"/>
          <w:szCs w:val="22"/>
        </w:rPr>
        <w:t xml:space="preserve">* </w:t>
      </w:r>
      <w:r>
        <w:rPr>
          <w:rFonts w:cs="Tahoma"/>
          <w:bCs/>
          <w:i/>
          <w:sz w:val="22"/>
          <w:szCs w:val="22"/>
          <w:u w:val="single"/>
        </w:rPr>
        <w:t>Uwaga</w:t>
      </w:r>
      <w:r>
        <w:rPr>
          <w:rFonts w:cs="Tahoma"/>
          <w:bCs/>
          <w:i/>
          <w:sz w:val="22"/>
          <w:szCs w:val="22"/>
        </w:rPr>
        <w:t>: Należy zakreślić znakiem „x” opcję 1 i wypełnić punkty 4.3, 4.3.1. i 4.3.2 albo zakreślić znakiem „x” opcję 2.</w:t>
      </w:r>
    </w:p>
    <w:p>
      <w:pPr>
        <w:pStyle w:val="style0"/>
        <w:jc w:val="both"/>
      </w:pPr>
      <w:r>
        <w:rPr>
          <w:b/>
          <w:color w:val="000000"/>
        </w:rPr>
      </w:r>
    </w:p>
    <w:p>
      <w:pPr>
        <w:pStyle w:val="style0"/>
        <w:jc w:val="both"/>
      </w:pPr>
      <w:r>
        <w:rPr>
          <w:rFonts w:cs="Tahoma"/>
          <w:b/>
        </w:rPr>
        <w:t>4.5</w:t>
      </w:r>
      <w:r>
        <w:rPr>
          <w:rFonts w:cs="Tahoma"/>
        </w:rPr>
        <w:t>. Wykonawca oświadcza, że następujące części zamówienia:</w:t>
      </w:r>
    </w:p>
    <w:p>
      <w:pPr>
        <w:pStyle w:val="style0"/>
        <w:spacing w:after="0" w:before="120"/>
        <w:contextualSpacing w:val="false"/>
        <w:jc w:val="both"/>
      </w:pPr>
      <w:r>
        <w:rPr>
          <w:rFonts w:cs="Tahoma"/>
        </w:rPr>
        <w:t>…………………………………………………………………………………………………………</w:t>
      </w:r>
    </w:p>
    <w:p>
      <w:pPr>
        <w:pStyle w:val="style0"/>
        <w:spacing w:after="0" w:before="120"/>
        <w:contextualSpacing w:val="false"/>
        <w:jc w:val="both"/>
      </w:pPr>
      <w:r>
        <w:rPr>
          <w:rFonts w:cs="Tahoma"/>
        </w:rPr>
        <w:t>…………………………………………………………………………………………………………</w:t>
      </w:r>
    </w:p>
    <w:p>
      <w:pPr>
        <w:pStyle w:val="style0"/>
        <w:spacing w:after="0" w:before="120"/>
        <w:contextualSpacing w:val="false"/>
        <w:jc w:val="both"/>
      </w:pPr>
      <w:r>
        <w:rPr>
          <w:rFonts w:cs="Tahoma"/>
        </w:rPr>
        <w:t>zamierza powierzyć podwykonawcom.</w:t>
      </w:r>
    </w:p>
    <w:p>
      <w:pPr>
        <w:pStyle w:val="style0"/>
        <w:spacing w:after="0" w:before="120"/>
        <w:contextualSpacing w:val="false"/>
        <w:jc w:val="both"/>
      </w:pPr>
      <w:r>
        <w:rPr>
          <w:rFonts w:cs="Tahoma"/>
          <w:b/>
        </w:rPr>
        <w:t>4.6.</w:t>
      </w:r>
      <w:r>
        <w:rPr>
          <w:rFonts w:cs="Tahoma"/>
        </w:rPr>
        <w:t xml:space="preserve"> Wykonawca oświadcza, że następujące części zamówienia:</w:t>
      </w:r>
    </w:p>
    <w:p>
      <w:pPr>
        <w:pStyle w:val="style0"/>
        <w:spacing w:after="0" w:before="120"/>
        <w:contextualSpacing w:val="false"/>
        <w:jc w:val="both"/>
      </w:pPr>
      <w:r>
        <w:rPr>
          <w:rFonts w:cs="Tahoma"/>
        </w:rPr>
        <w:t>…………………………………………………………………………………………………………</w:t>
      </w:r>
    </w:p>
    <w:p>
      <w:pPr>
        <w:pStyle w:val="style0"/>
        <w:spacing w:after="0" w:before="120"/>
        <w:contextualSpacing w:val="false"/>
        <w:jc w:val="both"/>
      </w:pPr>
      <w:r>
        <w:rPr>
          <w:rFonts w:cs="Tahoma"/>
        </w:rPr>
        <w:t>…………………………………………………………………………………………………………</w:t>
      </w:r>
    </w:p>
    <w:p>
      <w:pPr>
        <w:pStyle w:val="style0"/>
        <w:spacing w:after="0" w:before="120"/>
        <w:contextualSpacing w:val="false"/>
        <w:jc w:val="both"/>
      </w:pPr>
      <w:r>
        <w:rPr>
          <w:rFonts w:cs="Tahoma"/>
        </w:rPr>
        <w:t>zamierza powierzyć firmom:</w:t>
      </w:r>
    </w:p>
    <w:p>
      <w:pPr>
        <w:pStyle w:val="style0"/>
        <w:spacing w:after="0" w:before="120"/>
        <w:contextualSpacing w:val="false"/>
        <w:jc w:val="both"/>
      </w:pPr>
      <w:r>
        <w:rPr>
          <w:rFonts w:cs="Tahoma"/>
        </w:rPr>
        <w:t>…………………………………………………………………………………………………………</w:t>
      </w:r>
    </w:p>
    <w:p>
      <w:pPr>
        <w:pStyle w:val="style0"/>
        <w:spacing w:after="0" w:before="120"/>
        <w:contextualSpacing w:val="false"/>
        <w:jc w:val="both"/>
      </w:pPr>
      <w:r>
        <w:rPr>
          <w:rFonts w:cs="Tahoma"/>
        </w:rPr>
        <w:t>…………………………………………………………………………………………………………</w:t>
      </w:r>
    </w:p>
    <w:p>
      <w:pPr>
        <w:pStyle w:val="style0"/>
        <w:spacing w:after="0" w:before="120"/>
        <w:contextualSpacing w:val="false"/>
        <w:jc w:val="both"/>
      </w:pPr>
      <w:r>
        <w:rPr>
          <w:rFonts w:cs="Tahoma"/>
        </w:rPr>
        <w:t>na których zasoby powołał się na zasadach określonych w art. 26 ust 2b pzp, w celu wykazania spełniania warunków w postepowaniu, o których mowa w art. 22 ust. 1 pzp.</w:t>
      </w:r>
    </w:p>
    <w:p>
      <w:pPr>
        <w:pStyle w:val="style0"/>
        <w:spacing w:after="0" w:before="120"/>
        <w:contextualSpacing w:val="false"/>
        <w:jc w:val="both"/>
      </w:pPr>
      <w:r>
        <w:rPr>
          <w:rFonts w:cs="Tahoma"/>
          <w:b/>
        </w:rPr>
        <w:t>4.7.</w:t>
      </w:r>
      <w:r>
        <w:rPr>
          <w:rFonts w:cs="Tahoma"/>
        </w:rPr>
        <w:t xml:space="preserve"> Wykonawca oświadcza, że zapoznał się ze specyfikacją istotnych warunków zamówienia i uznaje się za związanego określonymi w niej postanowieniami i zasadami postępowania.</w:t>
      </w:r>
    </w:p>
    <w:p>
      <w:pPr>
        <w:pStyle w:val="style0"/>
        <w:jc w:val="both"/>
      </w:pPr>
      <w:r>
        <w:rPr>
          <w:rFonts w:cs="Tahoma"/>
          <w:b/>
          <w:bCs/>
        </w:rPr>
        <w:t xml:space="preserve">4.6. </w:t>
      </w:r>
      <w:r>
        <w:rPr>
          <w:rFonts w:cs="Tahoma"/>
        </w:rPr>
        <w:t>Wykonawca oświadcza, że akceptuje warunki zawarte w załączonym do siwz wzorze umowy.</w:t>
      </w:r>
    </w:p>
    <w:p>
      <w:pPr>
        <w:pStyle w:val="style0"/>
        <w:jc w:val="both"/>
      </w:pPr>
      <w:r>
        <w:rPr>
          <w:rFonts w:cs="Tahoma"/>
          <w:b/>
          <w:bCs/>
        </w:rPr>
        <w:t xml:space="preserve">4.7. </w:t>
      </w:r>
      <w:r>
        <w:rPr>
          <w:rFonts w:cs="Tahoma"/>
        </w:rPr>
        <w:t>Wykonawca uważa się za związanego ofertą przez okres 30 dni, licząc od upływu terminu składania ofert.</w:t>
      </w:r>
    </w:p>
    <w:p>
      <w:pPr>
        <w:pStyle w:val="style0"/>
        <w:jc w:val="both"/>
      </w:pPr>
      <w:r>
        <w:rPr>
          <w:rFonts w:cs="Tahoma"/>
          <w:b/>
          <w:bCs/>
        </w:rPr>
        <w:t xml:space="preserve">4.8. </w:t>
      </w:r>
      <w:r>
        <w:rPr>
          <w:rFonts w:cs="Tahoma"/>
        </w:rPr>
        <w:t>Wykonawca składa ofertę na ......... kolejno ponumerowanych stronach.</w:t>
      </w:r>
    </w:p>
    <w:p>
      <w:pPr>
        <w:pStyle w:val="style0"/>
        <w:jc w:val="both"/>
      </w:pPr>
      <w:r>
        <w:rPr>
          <w:rFonts w:cs="Tahoma"/>
          <w:b/>
          <w:bCs/>
        </w:rPr>
      </w:r>
    </w:p>
    <w:p>
      <w:pPr>
        <w:pStyle w:val="style0"/>
        <w:jc w:val="both"/>
      </w:pPr>
      <w:r>
        <w:rPr>
          <w:rFonts w:cs="Tahoma"/>
          <w:b/>
          <w:bCs/>
        </w:rPr>
        <w:t>5. Zastrzeżenie wykonawcy.</w:t>
      </w:r>
    </w:p>
    <w:p>
      <w:pPr>
        <w:pStyle w:val="style0"/>
        <w:jc w:val="both"/>
      </w:pPr>
      <w:r>
        <w:rPr>
          <w:rFonts w:cs="Tahoma"/>
        </w:rPr>
        <w:t>Niżej wymienione dokumenty, oznaczone numerami stron ....................... nie mogą być ogólnie udostępnione:</w:t>
      </w:r>
    </w:p>
    <w:p>
      <w:pPr>
        <w:pStyle w:val="style0"/>
        <w:spacing w:after="120" w:before="120"/>
        <w:contextualSpacing w:val="false"/>
        <w:jc w:val="both"/>
      </w:pPr>
      <w:r>
        <w:rPr>
          <w:rFonts w:cs="Tahoma"/>
        </w:rPr>
        <w:t>...........................................................................................................................................................</w:t>
      </w:r>
    </w:p>
    <w:p>
      <w:pPr>
        <w:pStyle w:val="style0"/>
        <w:jc w:val="both"/>
      </w:pPr>
      <w:r>
        <w:rPr>
          <w:rFonts w:cs="Tahoma"/>
        </w:rPr>
        <w:t>...........................................................................................................................................................</w:t>
      </w:r>
    </w:p>
    <w:p>
      <w:pPr>
        <w:pStyle w:val="style0"/>
        <w:jc w:val="both"/>
      </w:pPr>
      <w:r>
        <w:rPr>
          <w:rFonts w:cs="Tahoma"/>
          <w:i/>
          <w:iCs/>
          <w:u w:val="single"/>
        </w:rPr>
        <w:t>Uwaga:</w:t>
      </w:r>
      <w:r>
        <w:rPr>
          <w:rFonts w:cs="Tahoma"/>
          <w:i/>
          <w:iCs/>
        </w:rPr>
        <w:t xml:space="preserve"> warunkiem koniecznym skutecznego zastrzeżenia poufności dokumentów jest spełnienie wymagań zawartych w punkcie 10.15 siwz.</w:t>
      </w:r>
    </w:p>
    <w:p>
      <w:pPr>
        <w:pStyle w:val="style0"/>
        <w:jc w:val="both"/>
      </w:pPr>
      <w:r>
        <w:rPr>
          <w:rFonts w:cs="Tahoma"/>
          <w:b/>
          <w:bCs/>
        </w:rPr>
      </w:r>
    </w:p>
    <w:p>
      <w:pPr>
        <w:pStyle w:val="style0"/>
        <w:jc w:val="both"/>
      </w:pPr>
      <w:r>
        <w:rPr>
          <w:rFonts w:cs="Tahoma"/>
          <w:b/>
          <w:bCs/>
        </w:rPr>
        <w:t>6. Inne informacje wykonawcy.</w:t>
      </w:r>
    </w:p>
    <w:p>
      <w:pPr>
        <w:pStyle w:val="style0"/>
        <w:spacing w:after="120" w:before="120"/>
        <w:contextualSpacing w:val="false"/>
        <w:jc w:val="both"/>
      </w:pPr>
      <w:r>
        <w:rPr>
          <w:rFonts w:cs="Tahoma"/>
        </w:rPr>
        <w:t>............................................................................................................................................................</w:t>
      </w:r>
    </w:p>
    <w:p>
      <w:pPr>
        <w:pStyle w:val="style0"/>
        <w:jc w:val="both"/>
      </w:pPr>
      <w:r>
        <w:rPr>
          <w:rFonts w:cs="Tahoma"/>
        </w:rPr>
        <w:t>............................................................................................................................................................</w:t>
      </w:r>
    </w:p>
    <w:p>
      <w:pPr>
        <w:pStyle w:val="style0"/>
        <w:spacing w:after="0" w:before="120"/>
        <w:contextualSpacing w:val="false"/>
        <w:jc w:val="both"/>
      </w:pPr>
      <w:r>
        <w:rPr>
          <w:rFonts w:cs="Tahoma"/>
        </w:rPr>
        <w:t>............................................................................................................................................................</w:t>
      </w:r>
    </w:p>
    <w:p>
      <w:pPr>
        <w:pStyle w:val="style0"/>
        <w:jc w:val="both"/>
      </w:pPr>
      <w:r>
        <w:rPr>
          <w:rFonts w:cs="Tahoma"/>
        </w:rPr>
      </w:r>
    </w:p>
    <w:p>
      <w:pPr>
        <w:pStyle w:val="style0"/>
        <w:jc w:val="both"/>
      </w:pPr>
      <w:r>
        <w:rPr>
          <w:rFonts w:cs="Tahoma"/>
          <w:b/>
          <w:bCs/>
        </w:rPr>
        <w:t>7. Do oferty załączamy:</w:t>
      </w:r>
    </w:p>
    <w:p>
      <w:pPr>
        <w:pStyle w:val="style0"/>
        <w:jc w:val="both"/>
      </w:pPr>
      <w:r>
        <w:rPr>
          <w:rFonts w:cs="Tahoma"/>
          <w:b/>
          <w:bCs/>
        </w:rPr>
      </w:r>
    </w:p>
    <w:p>
      <w:pPr>
        <w:pStyle w:val="style0"/>
        <w:spacing w:after="120" w:before="0"/>
        <w:contextualSpacing w:val="false"/>
        <w:jc w:val="both"/>
      </w:pPr>
      <w:r>
        <w:rPr>
          <w:rFonts w:cs="Tahoma"/>
        </w:rPr>
        <w:t>1) ........................................................................................................................</w:t>
      </w:r>
    </w:p>
    <w:p>
      <w:pPr>
        <w:pStyle w:val="style0"/>
        <w:spacing w:after="120" w:before="0"/>
        <w:contextualSpacing w:val="false"/>
        <w:jc w:val="both"/>
      </w:pPr>
      <w:r>
        <w:rPr>
          <w:rFonts w:cs="Tahoma"/>
        </w:rPr>
        <w:t>2) ........................................................................................................................</w:t>
      </w:r>
    </w:p>
    <w:p>
      <w:pPr>
        <w:pStyle w:val="style0"/>
        <w:spacing w:after="120" w:before="0"/>
        <w:contextualSpacing w:val="false"/>
        <w:jc w:val="both"/>
      </w:pPr>
      <w:r>
        <w:rPr>
          <w:rFonts w:cs="Tahoma"/>
        </w:rPr>
        <w:t>3) ........................................................................................................................</w:t>
      </w:r>
    </w:p>
    <w:p>
      <w:pPr>
        <w:pStyle w:val="style0"/>
        <w:spacing w:after="120" w:before="0"/>
        <w:contextualSpacing w:val="false"/>
        <w:jc w:val="both"/>
      </w:pPr>
      <w:r>
        <w:rPr>
          <w:rFonts w:cs="Tahoma"/>
        </w:rPr>
        <w:t>4) ........................................................................................................................</w:t>
      </w:r>
    </w:p>
    <w:p>
      <w:pPr>
        <w:pStyle w:val="style0"/>
        <w:spacing w:after="120" w:before="0"/>
        <w:contextualSpacing w:val="false"/>
        <w:jc w:val="both"/>
      </w:pPr>
      <w:r>
        <w:rPr>
          <w:rFonts w:cs="Tahoma"/>
        </w:rPr>
        <w:t>5) ........................................................................................................................</w:t>
      </w:r>
    </w:p>
    <w:p>
      <w:pPr>
        <w:pStyle w:val="style0"/>
        <w:spacing w:after="120" w:before="0"/>
        <w:contextualSpacing w:val="false"/>
        <w:jc w:val="both"/>
      </w:pPr>
      <w:r>
        <w:rPr>
          <w:rFonts w:cs="Tahoma"/>
        </w:rPr>
        <w:t>6) ........................................................................................................................</w:t>
      </w:r>
    </w:p>
    <w:p>
      <w:pPr>
        <w:pStyle w:val="style0"/>
        <w:jc w:val="both"/>
      </w:pPr>
      <w:r>
        <w:rPr>
          <w:rFonts w:cs="Tahoma"/>
        </w:rPr>
        <w:t>7) ........................................................................................................................</w:t>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r>
    </w:p>
    <w:p>
      <w:pPr>
        <w:pStyle w:val="style0"/>
        <w:jc w:val="both"/>
      </w:pPr>
      <w:r>
        <w:rPr>
          <w:rFonts w:cs="Tahoma"/>
        </w:rPr>
        <w:t>...........................................................</w:t>
        <w:tab/>
        <w:t>......................................................................................</w:t>
      </w:r>
    </w:p>
    <w:p>
      <w:pPr>
        <w:pStyle w:val="style0"/>
        <w:jc w:val="both"/>
      </w:pPr>
      <w:r>
        <w:rPr>
          <w:rFonts w:cs="Tahoma"/>
          <w:i/>
          <w:iCs/>
          <w:sz w:val="20"/>
          <w:szCs w:val="20"/>
        </w:rPr>
        <w:t xml:space="preserve"> </w:t>
      </w:r>
      <w:r>
        <w:rPr>
          <w:rFonts w:cs="Tahoma"/>
          <w:i/>
          <w:iCs/>
          <w:sz w:val="20"/>
          <w:szCs w:val="20"/>
        </w:rPr>
        <w:tab/>
        <w:t xml:space="preserve">     miejscowość i data</w:t>
        <w:tab/>
        <w:tab/>
        <w:tab/>
        <w:t xml:space="preserve">  podpisy osób uprawnionych do reprezentowania Wykonawcy</w:t>
      </w:r>
    </w:p>
    <w:p>
      <w:pPr>
        <w:sectPr>
          <w:footerReference r:id="rId14" w:type="default"/>
          <w:type w:val="nextPage"/>
          <w:pgSz w:h="16838" w:w="11906"/>
          <w:pgMar w:bottom="1648" w:footer="1134" w:gutter="0" w:header="0" w:left="1134" w:right="1134" w:top="1134"/>
          <w:pgNumType w:fmt="decimal"/>
          <w:formProt w:val="false"/>
          <w:textDirection w:val="lrTb"/>
          <w:docGrid w:charSpace="0" w:linePitch="360" w:type="default"/>
        </w:sectPr>
        <w:pStyle w:val="style0"/>
      </w:pPr>
      <w:r>
        <w:rPr>
          <w:rFonts w:cs="Tahoma"/>
          <w:i/>
          <w:iCs/>
          <w:sz w:val="20"/>
          <w:szCs w:val="20"/>
        </w:rPr>
      </w:r>
    </w:p>
    <w:p>
      <w:pPr>
        <w:pStyle w:val="style0"/>
        <w:jc w:val="both"/>
      </w:pPr>
      <w:r>
        <w:rPr>
          <w:rFonts w:cs="Tahoma"/>
          <w:b/>
          <w:bCs/>
        </w:rPr>
        <w:t>XXIV-38/01/16</w:t>
      </w:r>
      <w:r>
        <w:rPr>
          <w:rFonts w:cs="Tahoma"/>
        </w:rPr>
        <w:tab/>
        <w:tab/>
        <w:tab/>
        <w:tab/>
        <w:tab/>
        <w:tab/>
        <w:tab/>
      </w:r>
      <w:r>
        <w:rPr>
          <w:rFonts w:cs="Tahoma"/>
          <w:b/>
          <w:bCs/>
          <w:i/>
          <w:iCs/>
        </w:rPr>
        <w:t>ZAŁĄCZNIK NR 7 DO SIWZ</w:t>
      </w:r>
    </w:p>
    <w:p>
      <w:pPr>
        <w:pStyle w:val="style0"/>
        <w:spacing w:after="480" w:before="600"/>
        <w:contextualSpacing w:val="false"/>
        <w:jc w:val="center"/>
      </w:pPr>
      <w:r>
        <w:rPr>
          <w:b/>
          <w:bCs/>
        </w:rPr>
        <w:t xml:space="preserve">UMOWA </w:t>
      </w:r>
      <w:r>
        <w:rPr/>
        <w:t xml:space="preserve">- </w:t>
      </w:r>
      <w:r>
        <w:rPr>
          <w:i/>
          <w:iCs/>
        </w:rPr>
        <w:t>wzór</w:t>
      </w:r>
    </w:p>
    <w:p>
      <w:pPr>
        <w:pStyle w:val="style0"/>
        <w:jc w:val="both"/>
      </w:pPr>
      <w:r>
        <w:rPr/>
        <w:t>W dniu .................... w Olsztynie pomiędzy:</w:t>
      </w:r>
    </w:p>
    <w:p>
      <w:pPr>
        <w:pStyle w:val="style0"/>
        <w:jc w:val="both"/>
      </w:pPr>
      <w:r>
        <w:rPr/>
        <w:t>Polskim Radiem - Regionalną Rozgłośnią w Olsztynie „Radio Olsztyn” SA, 10-206 Olsztyn,</w:t>
        <w:br/>
        <w:t>ul. Radiowa 24; kapitał zakładowy 713.000 zł; NIP 739-05-09-493; REGON 510226583; Nr KRS 38114 Sądu Rejonowego w Olsztynie, zwanym dalej „Zamawiającym”,</w:t>
      </w:r>
    </w:p>
    <w:p>
      <w:pPr>
        <w:pStyle w:val="style0"/>
        <w:spacing w:after="0" w:before="60"/>
        <w:contextualSpacing w:val="false"/>
        <w:jc w:val="both"/>
      </w:pPr>
      <w:r>
        <w:rPr/>
        <w:t>reprezentowanym przez:</w:t>
      </w:r>
    </w:p>
    <w:p>
      <w:pPr>
        <w:pStyle w:val="style0"/>
        <w:spacing w:after="0" w:before="120"/>
        <w:contextualSpacing w:val="false"/>
        <w:jc w:val="both"/>
      </w:pPr>
      <w:r>
        <w:rPr/>
        <w:t>...................................................................................................................................</w:t>
      </w:r>
    </w:p>
    <w:p>
      <w:pPr>
        <w:pStyle w:val="style0"/>
        <w:spacing w:after="0" w:before="240"/>
        <w:contextualSpacing w:val="false"/>
        <w:jc w:val="both"/>
      </w:pPr>
      <w:r>
        <w:rPr/>
        <w:t>a</w:t>
      </w:r>
    </w:p>
    <w:p>
      <w:pPr>
        <w:pStyle w:val="style0"/>
        <w:spacing w:after="0" w:before="120"/>
        <w:contextualSpacing w:val="false"/>
        <w:jc w:val="both"/>
      </w:pPr>
      <w:r>
        <w:rPr/>
        <w:t>...................................................................................................................................</w:t>
      </w:r>
    </w:p>
    <w:p>
      <w:pPr>
        <w:pStyle w:val="style0"/>
        <w:spacing w:after="0" w:before="120"/>
        <w:contextualSpacing w:val="false"/>
        <w:jc w:val="both"/>
      </w:pPr>
      <w:r>
        <w:rPr/>
        <w:t>...................................................................................................................................</w:t>
      </w:r>
    </w:p>
    <w:p>
      <w:pPr>
        <w:pStyle w:val="style0"/>
        <w:jc w:val="both"/>
      </w:pPr>
      <w:r>
        <w:rPr/>
        <w:t>zwanym dalej „Wykonawcą”,</w:t>
      </w:r>
    </w:p>
    <w:p>
      <w:pPr>
        <w:pStyle w:val="style0"/>
        <w:spacing w:after="0" w:before="60"/>
        <w:contextualSpacing w:val="false"/>
        <w:jc w:val="both"/>
      </w:pPr>
      <w:r>
        <w:rPr/>
        <w:t>reprezentowanym przez:</w:t>
      </w:r>
    </w:p>
    <w:p>
      <w:pPr>
        <w:pStyle w:val="style0"/>
        <w:spacing w:after="0" w:before="120"/>
        <w:contextualSpacing w:val="false"/>
        <w:jc w:val="both"/>
      </w:pPr>
      <w:r>
        <w:rPr/>
        <w:t>...................................................................................................................................</w:t>
      </w:r>
    </w:p>
    <w:p>
      <w:pPr>
        <w:pStyle w:val="style0"/>
        <w:jc w:val="both"/>
      </w:pPr>
      <w:r>
        <w:rPr/>
        <w:t>w konsekwencji zamówienia publicznego realizowanego w trybie przetargu nieograniczonego na podstawie ustawy Prawo zamówień publicznych (BZP ogłoszenie nr .............. z dnia .................r.) została zawarta umowa następującej treści:</w:t>
      </w:r>
    </w:p>
    <w:p>
      <w:pPr>
        <w:pStyle w:val="style0"/>
        <w:spacing w:after="0" w:before="200"/>
        <w:contextualSpacing w:val="false"/>
        <w:jc w:val="center"/>
      </w:pPr>
      <w:r>
        <w:rPr/>
        <w:t>§ 1</w:t>
      </w:r>
    </w:p>
    <w:p>
      <w:pPr>
        <w:pStyle w:val="style0"/>
        <w:widowControl/>
        <w:numPr>
          <w:ilvl w:val="0"/>
          <w:numId w:val="18"/>
        </w:numPr>
        <w:tabs>
          <w:tab w:leader="none" w:pos="717" w:val="left"/>
        </w:tabs>
        <w:suppressAutoHyphens w:val="false"/>
        <w:spacing w:after="160" w:before="0" w:line="256" w:lineRule="auto"/>
        <w:ind w:hanging="357" w:left="357" w:right="0"/>
        <w:contextualSpacing/>
        <w:jc w:val="both"/>
      </w:pPr>
      <w:r>
        <w:rPr>
          <w:rFonts w:eastAsia="Times New Roman"/>
          <w:sz w:val="20"/>
          <w:szCs w:val="20"/>
          <w:lang w:eastAsia="ar-SA"/>
        </w:rPr>
        <w:t>Zamawiający zamawia, a Wykonawca przyjmuje do wykonania usługi sprzątania obiektów i utrzymania terenów zielonych, zwane dalej usługami.</w:t>
      </w:r>
    </w:p>
    <w:p>
      <w:pPr>
        <w:pStyle w:val="style0"/>
        <w:widowControl/>
        <w:numPr>
          <w:ilvl w:val="0"/>
          <w:numId w:val="18"/>
        </w:numPr>
        <w:suppressAutoHyphens w:val="false"/>
        <w:spacing w:after="160" w:before="0" w:line="256" w:lineRule="auto"/>
        <w:ind w:hanging="357" w:left="357" w:right="0"/>
        <w:contextualSpacing/>
        <w:jc w:val="both"/>
      </w:pPr>
      <w:r>
        <w:rPr>
          <w:rFonts w:cs="Tahoma"/>
        </w:rPr>
        <w:t>Usługi obejmują:</w:t>
      </w:r>
    </w:p>
    <w:p>
      <w:pPr>
        <w:pStyle w:val="style0"/>
        <w:widowControl/>
        <w:numPr>
          <w:ilvl w:val="0"/>
          <w:numId w:val="14"/>
        </w:numPr>
        <w:suppressAutoHyphens w:val="false"/>
        <w:spacing w:after="160" w:before="0" w:line="256" w:lineRule="auto"/>
        <w:contextualSpacing/>
        <w:jc w:val="both"/>
      </w:pPr>
      <w:r>
        <w:rPr>
          <w:rFonts w:cs="Tahoma"/>
        </w:rPr>
        <w:t>sprzątanie pomieszczeń i wyposażenia budynku głównego;</w:t>
      </w:r>
    </w:p>
    <w:p>
      <w:pPr>
        <w:pStyle w:val="style0"/>
        <w:widowControl/>
        <w:numPr>
          <w:ilvl w:val="0"/>
          <w:numId w:val="14"/>
        </w:numPr>
        <w:suppressAutoHyphens w:val="false"/>
        <w:spacing w:after="160" w:before="0" w:line="256" w:lineRule="auto"/>
        <w:contextualSpacing/>
        <w:jc w:val="both"/>
      </w:pPr>
      <w:r>
        <w:rPr>
          <w:rFonts w:cs="Tahoma"/>
        </w:rPr>
        <w:t>sprzątanie pomieszczeń budynku zaplecza technicznego;</w:t>
      </w:r>
    </w:p>
    <w:p>
      <w:pPr>
        <w:pStyle w:val="style0"/>
        <w:widowControl/>
        <w:numPr>
          <w:ilvl w:val="0"/>
          <w:numId w:val="14"/>
        </w:numPr>
        <w:suppressAutoHyphens w:val="false"/>
        <w:spacing w:after="160" w:before="0" w:line="256" w:lineRule="auto"/>
        <w:contextualSpacing/>
        <w:jc w:val="both"/>
      </w:pPr>
      <w:r>
        <w:rPr>
          <w:rFonts w:cs="Tahoma"/>
        </w:rPr>
        <w:t>sprzątanie i odśnieżanie parkingów;</w:t>
      </w:r>
    </w:p>
    <w:p>
      <w:pPr>
        <w:pStyle w:val="style0"/>
        <w:widowControl/>
        <w:numPr>
          <w:ilvl w:val="0"/>
          <w:numId w:val="14"/>
        </w:numPr>
        <w:suppressAutoHyphens w:val="false"/>
        <w:spacing w:after="160" w:before="0" w:line="256" w:lineRule="auto"/>
        <w:contextualSpacing/>
        <w:jc w:val="both"/>
      </w:pPr>
      <w:r>
        <w:rPr>
          <w:rFonts w:cs="Tahoma"/>
        </w:rPr>
        <w:t>usuwanie śniegu z dachu budynku głównego;</w:t>
      </w:r>
    </w:p>
    <w:p>
      <w:pPr>
        <w:pStyle w:val="style0"/>
        <w:widowControl/>
        <w:numPr>
          <w:ilvl w:val="0"/>
          <w:numId w:val="14"/>
        </w:numPr>
        <w:suppressAutoHyphens w:val="false"/>
        <w:spacing w:after="160" w:before="0" w:line="256" w:lineRule="auto"/>
        <w:contextualSpacing/>
        <w:jc w:val="both"/>
      </w:pPr>
      <w:r>
        <w:rPr>
          <w:rFonts w:cs="Tahoma"/>
        </w:rPr>
        <w:t>sukcesywny wywóz śniegu usuniętego z parkingów i dachu budynku głównego w miejsce wyznaczone przez Urząd Miasta Olsztyn;</w:t>
      </w:r>
    </w:p>
    <w:p>
      <w:pPr>
        <w:pStyle w:val="style0"/>
        <w:widowControl/>
        <w:numPr>
          <w:ilvl w:val="0"/>
          <w:numId w:val="14"/>
        </w:numPr>
        <w:suppressAutoHyphens w:val="false"/>
        <w:spacing w:after="160" w:before="0" w:line="256" w:lineRule="auto"/>
        <w:contextualSpacing/>
        <w:jc w:val="both"/>
      </w:pPr>
      <w:r>
        <w:rPr>
          <w:rFonts w:cs="Tahoma"/>
        </w:rPr>
        <w:t>pielęgnację terenów zielonych;</w:t>
      </w:r>
    </w:p>
    <w:p>
      <w:pPr>
        <w:pStyle w:val="style0"/>
        <w:widowControl/>
        <w:numPr>
          <w:ilvl w:val="0"/>
          <w:numId w:val="14"/>
        </w:numPr>
        <w:suppressAutoHyphens w:val="false"/>
        <w:spacing w:after="160" w:before="0" w:line="256" w:lineRule="auto"/>
        <w:contextualSpacing/>
        <w:jc w:val="both"/>
      </w:pPr>
      <w:r>
        <w:rPr>
          <w:rFonts w:cs="Tahoma"/>
        </w:rPr>
        <w:t>sukcesywny wywóz odpadów zielonych (trawa, liście, gałęzie).</w:t>
      </w:r>
    </w:p>
    <w:p>
      <w:pPr>
        <w:pStyle w:val="style0"/>
        <w:widowControl/>
        <w:numPr>
          <w:ilvl w:val="0"/>
          <w:numId w:val="18"/>
        </w:numPr>
        <w:suppressAutoHyphens w:val="false"/>
        <w:spacing w:after="160" w:before="0" w:line="256" w:lineRule="auto"/>
        <w:ind w:hanging="357" w:left="357" w:right="0"/>
        <w:contextualSpacing/>
        <w:jc w:val="both"/>
      </w:pPr>
      <w:r>
        <w:rPr>
          <w:rFonts w:cs="Tahoma"/>
        </w:rPr>
        <w:t>Szczegółowy zakres obowiązków i czynności objętych przedmiotem umowy zawiera załącznik nr 1 do umowy.</w:t>
      </w:r>
    </w:p>
    <w:p>
      <w:pPr>
        <w:pStyle w:val="style0"/>
        <w:spacing w:after="0" w:before="200"/>
        <w:contextualSpacing w:val="false"/>
        <w:jc w:val="center"/>
      </w:pPr>
      <w:r>
        <w:rPr/>
        <w:t>§ 2</w:t>
      </w:r>
      <w:r>
        <w:rPr>
          <w:rStyle w:val="style29"/>
        </w:rPr>
        <w:footnoteReference w:customMarkFollows="1" w:id="2"/>
        <w:t>*</w:t>
      </w:r>
    </w:p>
    <w:p>
      <w:pPr>
        <w:pStyle w:val="style0"/>
        <w:widowControl/>
        <w:numPr>
          <w:ilvl w:val="0"/>
          <w:numId w:val="29"/>
        </w:numPr>
        <w:suppressAutoHyphens w:val="false"/>
        <w:spacing w:after="160" w:before="0" w:line="256" w:lineRule="auto"/>
        <w:ind w:hanging="357" w:left="357" w:right="0"/>
        <w:contextualSpacing/>
        <w:jc w:val="both"/>
      </w:pPr>
      <w:r>
        <w:rPr>
          <w:rFonts w:cs="Tahoma"/>
        </w:rPr>
        <w:t>Wykonawca oświadcza, że zamówienie lub jego część będzie wykonana przez …....... osób zatrudnionych na podstawie umów o pracę w łącznym wymiarze czasu pracy przy bezpośredniej realizacji przedmiotu umowy w wysokości ………. etatów.</w:t>
      </w:r>
    </w:p>
    <w:p>
      <w:pPr>
        <w:pStyle w:val="style0"/>
        <w:widowControl/>
        <w:numPr>
          <w:ilvl w:val="0"/>
          <w:numId w:val="29"/>
        </w:numPr>
        <w:suppressAutoHyphens w:val="false"/>
        <w:spacing w:after="160" w:before="0" w:line="256" w:lineRule="auto"/>
        <w:ind w:hanging="357" w:left="357" w:right="0"/>
        <w:contextualSpacing/>
        <w:jc w:val="both"/>
      </w:pPr>
      <w:r>
        <w:rPr>
          <w:rFonts w:cs="Tahoma"/>
        </w:rPr>
        <w:t xml:space="preserve">Do faktur, o których mowa w </w:t>
      </w:r>
      <w:r>
        <w:rPr>
          <w:rFonts w:eastAsia="Times New Roman"/>
          <w:sz w:val="20"/>
          <w:szCs w:val="20"/>
          <w:lang w:eastAsia="ar-SA"/>
        </w:rPr>
        <w:t>§ 5 ust. 3, Wykonawca będzie dołączał oświadczenie o wykonywaniu zamówienia przez osoby, o których mowa w ust. 1.</w:t>
      </w:r>
    </w:p>
    <w:p>
      <w:pPr>
        <w:pStyle w:val="style0"/>
        <w:widowControl/>
        <w:numPr>
          <w:ilvl w:val="0"/>
          <w:numId w:val="29"/>
        </w:numPr>
        <w:suppressAutoHyphens w:val="false"/>
        <w:spacing w:after="160" w:before="0" w:line="256" w:lineRule="auto"/>
        <w:ind w:hanging="357" w:left="357" w:right="0"/>
        <w:contextualSpacing/>
        <w:jc w:val="both"/>
      </w:pPr>
      <w:r>
        <w:rPr>
          <w:rFonts w:eastAsia="Times New Roman"/>
          <w:sz w:val="20"/>
          <w:szCs w:val="20"/>
          <w:lang w:eastAsia="ar-SA"/>
        </w:rPr>
        <w:t>Na żądanie Zamawiającego Wykonawca jest zobowiązany udokumentować zatrudnienie osób, o których mowa w ust. 1.</w:t>
      </w:r>
    </w:p>
    <w:p>
      <w:pPr>
        <w:pStyle w:val="style0"/>
        <w:spacing w:after="0" w:before="200"/>
        <w:contextualSpacing w:val="false"/>
        <w:jc w:val="center"/>
      </w:pPr>
      <w:r>
        <w:rPr/>
        <w:t>§ 2</w:t>
      </w:r>
      <w:r>
        <w:rPr>
          <w:rStyle w:val="style29"/>
        </w:rPr>
        <w:footnoteReference w:customMarkFollows="1" w:id="3"/>
        <w:t>*</w:t>
      </w:r>
    </w:p>
    <w:p>
      <w:pPr>
        <w:pStyle w:val="style0"/>
      </w:pPr>
      <w:r>
        <w:rPr/>
        <w:t>Wykonawca oświadcza, że zamówienie będzie wykonywane wyłącznie przez osoby zatrudnione na innej podstawie niż stosunek pracy.</w:t>
      </w:r>
    </w:p>
    <w:p>
      <w:pPr>
        <w:pStyle w:val="style0"/>
        <w:spacing w:after="0" w:before="200"/>
        <w:contextualSpacing w:val="false"/>
        <w:jc w:val="center"/>
      </w:pPr>
      <w:r>
        <w:rPr/>
        <w:t>§ 3</w:t>
      </w:r>
    </w:p>
    <w:p>
      <w:pPr>
        <w:pStyle w:val="style0"/>
        <w:jc w:val="both"/>
      </w:pPr>
      <w:r>
        <w:rPr>
          <w:rFonts w:eastAsia="Times New Roman"/>
          <w:sz w:val="20"/>
          <w:szCs w:val="20"/>
          <w:lang w:eastAsia="ar-SA"/>
        </w:rPr>
        <w:t>Umowa zostaje zawarta na czas określony od 01.04.2016 do 31.03.2018 roku.</w:t>
      </w:r>
    </w:p>
    <w:p>
      <w:pPr>
        <w:pStyle w:val="style0"/>
        <w:spacing w:after="0" w:before="200"/>
        <w:contextualSpacing w:val="false"/>
        <w:jc w:val="center"/>
      </w:pPr>
      <w:r>
        <w:rPr/>
        <w:t>§ 4</w:t>
      </w:r>
    </w:p>
    <w:p>
      <w:pPr>
        <w:pStyle w:val="style0"/>
        <w:widowControl/>
        <w:numPr>
          <w:ilvl w:val="0"/>
          <w:numId w:val="17"/>
        </w:numPr>
        <w:tabs>
          <w:tab w:leader="none" w:pos="717" w:val="left"/>
        </w:tabs>
        <w:suppressAutoHyphens w:val="false"/>
        <w:spacing w:after="160" w:before="0" w:line="256" w:lineRule="auto"/>
        <w:ind w:hanging="357" w:left="357" w:right="0"/>
        <w:contextualSpacing/>
        <w:jc w:val="both"/>
      </w:pPr>
      <w:r>
        <w:rPr>
          <w:rFonts w:eastAsia="Times New Roman"/>
          <w:sz w:val="20"/>
          <w:szCs w:val="20"/>
          <w:lang w:eastAsia="ar-SA"/>
        </w:rPr>
        <w:t>Wykonawca zobowiązuje się wykonywać usługi z wykorzystaniem materiałów, narzędzi, urządzeń i technologii gwarantujących spełnienie wymagań sanitarnych i estetycznych w sprzątanych obiektach oraz utrzymanie w dobrej kondycji terenów zielonych.</w:t>
      </w:r>
    </w:p>
    <w:p>
      <w:pPr>
        <w:pStyle w:val="style0"/>
        <w:widowControl/>
        <w:numPr>
          <w:ilvl w:val="0"/>
          <w:numId w:val="17"/>
        </w:numPr>
        <w:tabs>
          <w:tab w:leader="none" w:pos="717" w:val="left"/>
        </w:tabs>
        <w:suppressAutoHyphens w:val="false"/>
        <w:spacing w:after="160" w:before="0" w:line="256" w:lineRule="auto"/>
        <w:ind w:hanging="357" w:left="357" w:right="0"/>
        <w:contextualSpacing/>
        <w:jc w:val="both"/>
      </w:pPr>
      <w:r>
        <w:rPr>
          <w:rFonts w:eastAsia="Times New Roman"/>
          <w:sz w:val="20"/>
          <w:szCs w:val="20"/>
          <w:lang w:eastAsia="ar-SA"/>
        </w:rPr>
        <w:t>Materiały własne Wykonawcy, używane do wykonania usługi (mydło w płynie, papier toaletowy, ręczniki papierowe, środki myjące, preparaty do dezynfekcji, środki ochrony roślin, nawozy itp.) muszą spełniać wymagania stosownych norm oraz posiadać wymagane atesty.</w:t>
      </w:r>
    </w:p>
    <w:p>
      <w:pPr>
        <w:pStyle w:val="style0"/>
        <w:widowControl/>
        <w:numPr>
          <w:ilvl w:val="0"/>
          <w:numId w:val="17"/>
        </w:numPr>
        <w:tabs>
          <w:tab w:leader="none" w:pos="717" w:val="left"/>
        </w:tabs>
        <w:suppressAutoHyphens w:val="false"/>
        <w:spacing w:after="160" w:before="0" w:line="256" w:lineRule="auto"/>
        <w:ind w:hanging="357" w:left="357" w:right="0"/>
        <w:contextualSpacing/>
        <w:jc w:val="both"/>
      </w:pPr>
      <w:r>
        <w:rPr>
          <w:rFonts w:eastAsia="Times New Roman"/>
          <w:sz w:val="20"/>
          <w:szCs w:val="20"/>
          <w:lang w:eastAsia="ar-SA"/>
        </w:rPr>
        <w:t>Dostarczane przez Wykonawcę ręczniki papierowe i papier toaletowy muszą być białe, celulozowe i co najmniej dwuwarstwowe.</w:t>
      </w:r>
    </w:p>
    <w:p>
      <w:pPr>
        <w:pStyle w:val="style0"/>
        <w:spacing w:after="0" w:before="200"/>
        <w:contextualSpacing w:val="false"/>
        <w:jc w:val="center"/>
      </w:pPr>
      <w:r>
        <w:rPr>
          <w:rFonts w:eastAsia="Times New Roman"/>
          <w:sz w:val="20"/>
          <w:szCs w:val="20"/>
          <w:lang w:eastAsia="ar-SA"/>
        </w:rPr>
        <w:t>§ 5</w:t>
      </w:r>
    </w:p>
    <w:p>
      <w:pPr>
        <w:pStyle w:val="style0"/>
        <w:widowControl/>
        <w:numPr>
          <w:ilvl w:val="0"/>
          <w:numId w:val="16"/>
        </w:numPr>
        <w:tabs>
          <w:tab w:leader="none" w:pos="5037" w:val="left"/>
        </w:tabs>
        <w:suppressAutoHyphens w:val="false"/>
        <w:spacing w:after="160" w:before="0" w:line="256" w:lineRule="auto"/>
        <w:ind w:hanging="357" w:left="357" w:right="0"/>
        <w:contextualSpacing w:val="false"/>
        <w:jc w:val="both"/>
      </w:pPr>
      <w:r>
        <w:rPr>
          <w:rFonts w:eastAsia="Times New Roman"/>
          <w:sz w:val="20"/>
          <w:szCs w:val="20"/>
          <w:lang w:eastAsia="ar-SA"/>
        </w:rPr>
        <w:t>Łączne wynagrodzenie brutto Wykonawcy za wykonanie przedmiotu umowy określonego w § 1 za cały okres obowiązywania umowy wynosi, zgodnie z ofertą stanowiącą załącznik nr 2 do umowy: .......................... zł (słownie: .......................................................................................) zł.</w:t>
      </w:r>
    </w:p>
    <w:p>
      <w:pPr>
        <w:pStyle w:val="style0"/>
        <w:widowControl/>
        <w:numPr>
          <w:ilvl w:val="0"/>
          <w:numId w:val="16"/>
        </w:numPr>
        <w:suppressAutoHyphens w:val="false"/>
        <w:spacing w:after="160" w:before="0" w:line="256" w:lineRule="auto"/>
        <w:ind w:hanging="357" w:left="357" w:right="0"/>
        <w:contextualSpacing/>
        <w:jc w:val="both"/>
      </w:pPr>
      <w:r>
        <w:rPr/>
        <w:t>Wynagrodzenie Wykonawcy będzie płacone za każdy miesiąc kalendarzowy z dołu w wysokości równej 1/24 wynagrodzenia, o którym mowa w ust. 1 i będzie składało się z następujących części:</w:t>
      </w:r>
    </w:p>
    <w:p>
      <w:pPr>
        <w:pStyle w:val="style0"/>
        <w:widowControl/>
        <w:numPr>
          <w:ilvl w:val="0"/>
          <w:numId w:val="25"/>
        </w:numPr>
        <w:suppressAutoHyphens w:val="false"/>
        <w:spacing w:after="160" w:before="0" w:line="256" w:lineRule="auto"/>
        <w:contextualSpacing/>
        <w:jc w:val="both"/>
      </w:pPr>
      <w:r>
        <w:rPr>
          <w:rFonts w:cs="Tahoma"/>
        </w:rPr>
        <w:t>sprzątanie pomieszczeń: ..................... zł + VAT (........%) .................... zł = .......................... zł;</w:t>
      </w:r>
    </w:p>
    <w:p>
      <w:pPr>
        <w:pStyle w:val="style0"/>
        <w:widowControl/>
        <w:numPr>
          <w:ilvl w:val="0"/>
          <w:numId w:val="25"/>
        </w:numPr>
        <w:suppressAutoHyphens w:val="false"/>
        <w:spacing w:after="160" w:before="0" w:line="256" w:lineRule="auto"/>
        <w:contextualSpacing/>
        <w:jc w:val="both"/>
      </w:pPr>
      <w:r>
        <w:rPr>
          <w:rFonts w:cs="Tahoma"/>
        </w:rPr>
        <w:t>sprzątanie parkingów i usuwanie śniegu: ......................... zł + VAT (........%) ..................... zł =  ............................ zł;</w:t>
      </w:r>
    </w:p>
    <w:p>
      <w:pPr>
        <w:pStyle w:val="style0"/>
        <w:widowControl/>
        <w:numPr>
          <w:ilvl w:val="0"/>
          <w:numId w:val="25"/>
        </w:numPr>
        <w:suppressAutoHyphens w:val="false"/>
        <w:spacing w:after="160" w:before="0" w:line="256" w:lineRule="auto"/>
        <w:contextualSpacing/>
        <w:jc w:val="both"/>
      </w:pPr>
      <w:r>
        <w:rPr>
          <w:rFonts w:cs="Tahoma"/>
        </w:rPr>
        <w:t>utrzymanie terenów zielonych: ....................zł + VAT (......%)................... zł = ......................... zł.</w:t>
      </w:r>
    </w:p>
    <w:p>
      <w:pPr>
        <w:pStyle w:val="style0"/>
        <w:widowControl/>
        <w:numPr>
          <w:ilvl w:val="0"/>
          <w:numId w:val="16"/>
        </w:numPr>
        <w:suppressAutoHyphens w:val="false"/>
        <w:spacing w:after="160" w:before="0" w:line="256" w:lineRule="auto"/>
        <w:ind w:hanging="357" w:left="357" w:right="0"/>
        <w:contextualSpacing/>
        <w:jc w:val="both"/>
      </w:pPr>
      <w:r>
        <w:rPr/>
        <w:t>Wykonawca wystawi fakturę za każdy miesiąc oddzielnie, w terminie 7 dni od jego zakończenia.</w:t>
      </w:r>
    </w:p>
    <w:p>
      <w:pPr>
        <w:pStyle w:val="style0"/>
        <w:widowControl/>
        <w:numPr>
          <w:ilvl w:val="0"/>
          <w:numId w:val="16"/>
        </w:numPr>
        <w:suppressAutoHyphens w:val="false"/>
        <w:spacing w:after="160" w:before="0" w:line="256" w:lineRule="auto"/>
        <w:ind w:hanging="357" w:left="357" w:right="0"/>
        <w:contextualSpacing/>
        <w:jc w:val="both"/>
      </w:pPr>
      <w:r>
        <w:rPr/>
        <w:t>Zamawiający zapłaci wynagrodzenie w terminie 14 dni od otrzymania faktury, przelewem na konto wskazane w fakturze.</w:t>
      </w:r>
    </w:p>
    <w:p>
      <w:pPr>
        <w:pStyle w:val="style0"/>
        <w:widowControl/>
        <w:numPr>
          <w:ilvl w:val="0"/>
          <w:numId w:val="16"/>
        </w:numPr>
        <w:suppressAutoHyphens w:val="false"/>
        <w:spacing w:after="160" w:before="0" w:line="256" w:lineRule="auto"/>
        <w:ind w:hanging="357" w:left="357" w:right="0"/>
        <w:contextualSpacing/>
        <w:jc w:val="both"/>
      </w:pPr>
      <w:r>
        <w:rPr/>
        <w:t>Wynagrodzenie powyższe obejmuje całkowity koszt usługi, w tym środki czystości, materiały higieniczne, środki ochrony roślin, nawozy, pracę sprzętu specjalistycznego wykorzystywanego do odśnieżania, mycia okien, prania wykładzin.</w:t>
      </w:r>
    </w:p>
    <w:p>
      <w:pPr>
        <w:pStyle w:val="style0"/>
        <w:spacing w:after="0" w:before="200"/>
        <w:contextualSpacing w:val="false"/>
        <w:jc w:val="center"/>
      </w:pPr>
      <w:r>
        <w:rPr>
          <w:rFonts w:eastAsia="Times New Roman"/>
          <w:sz w:val="20"/>
          <w:szCs w:val="20"/>
          <w:lang w:eastAsia="ar-SA"/>
        </w:rPr>
        <w:t>§ 6</w:t>
      </w:r>
    </w:p>
    <w:p>
      <w:pPr>
        <w:pStyle w:val="style0"/>
        <w:widowControl/>
        <w:numPr>
          <w:ilvl w:val="0"/>
          <w:numId w:val="5"/>
        </w:numPr>
        <w:tabs>
          <w:tab w:leader="none" w:pos="5037" w:val="left"/>
        </w:tabs>
        <w:suppressAutoHyphens w:val="false"/>
        <w:spacing w:line="256" w:lineRule="auto"/>
        <w:ind w:hanging="357" w:left="357" w:right="0"/>
        <w:jc w:val="both"/>
      </w:pPr>
      <w:r>
        <w:rPr>
          <w:rFonts w:eastAsia="Times New Roman"/>
          <w:sz w:val="20"/>
          <w:szCs w:val="20"/>
          <w:lang w:eastAsia="ar-SA"/>
        </w:rPr>
        <w:t>Do kontaktów i przekazywania uwag dotyczących realizacji niniejszej umowy, Zamawiający wyznacza Lecha Wojtczaka, tel.: 089 651 08 33.</w:t>
      </w:r>
    </w:p>
    <w:p>
      <w:pPr>
        <w:pStyle w:val="style0"/>
        <w:widowControl/>
        <w:numPr>
          <w:ilvl w:val="0"/>
          <w:numId w:val="5"/>
        </w:numPr>
        <w:tabs>
          <w:tab w:leader="none" w:pos="5037" w:val="left"/>
        </w:tabs>
        <w:suppressAutoHyphens w:val="false"/>
        <w:spacing w:line="256" w:lineRule="auto"/>
        <w:ind w:hanging="357" w:left="357" w:right="0"/>
        <w:jc w:val="both"/>
      </w:pPr>
      <w:r>
        <w:rPr>
          <w:rFonts w:eastAsia="Times New Roman"/>
          <w:sz w:val="20"/>
          <w:szCs w:val="20"/>
          <w:lang w:eastAsia="ar-SA"/>
        </w:rPr>
        <w:t>Do bieżących kontaktów z Zamawiającym w sprawach dotyczących realizacji niniejszej umowy, Wykonawca wyznacza .................................................................., tel.: ..................................</w:t>
      </w:r>
    </w:p>
    <w:p>
      <w:pPr>
        <w:pStyle w:val="style0"/>
        <w:widowControl/>
        <w:numPr>
          <w:ilvl w:val="0"/>
          <w:numId w:val="5"/>
        </w:numPr>
        <w:tabs>
          <w:tab w:leader="none" w:pos="5037" w:val="left"/>
        </w:tabs>
        <w:suppressAutoHyphens w:val="false"/>
        <w:spacing w:line="256" w:lineRule="auto"/>
        <w:ind w:hanging="357" w:left="357" w:right="0"/>
        <w:jc w:val="both"/>
      </w:pPr>
      <w:r>
        <w:rPr>
          <w:rFonts w:eastAsia="Times New Roman"/>
          <w:sz w:val="20"/>
          <w:szCs w:val="20"/>
          <w:lang w:eastAsia="ar-SA"/>
        </w:rPr>
        <w:t>Wykonawca zobowiązany jest do naprawienia ewentualnej szkody wynikłej z niewykonania lub nienależytego wykonania umowy.</w:t>
      </w:r>
    </w:p>
    <w:p>
      <w:pPr>
        <w:pStyle w:val="style0"/>
        <w:widowControl/>
        <w:numPr>
          <w:ilvl w:val="0"/>
          <w:numId w:val="5"/>
        </w:numPr>
        <w:tabs>
          <w:tab w:leader="none" w:pos="5037" w:val="left"/>
        </w:tabs>
        <w:suppressAutoHyphens w:val="false"/>
        <w:spacing w:line="256" w:lineRule="auto"/>
        <w:ind w:hanging="357" w:left="357" w:right="0"/>
        <w:jc w:val="both"/>
      </w:pPr>
      <w:r>
        <w:rPr>
          <w:rFonts w:eastAsia="Times New Roman"/>
          <w:sz w:val="20"/>
          <w:szCs w:val="20"/>
          <w:lang w:eastAsia="ar-SA"/>
        </w:rPr>
        <w:t>Wykonawca ponosi odpowiedzialność majątkową za niewłaściwe działanie bądź zaniechanie czynności, do których jego pracownicy lub osoby trzecie, którym powierzył wykonywanie usług, byli zobowiązani oraz za czyny niedozwolone pracowników oraz osób trzecich, którym powierzył wykonywanie usług.</w:t>
      </w:r>
    </w:p>
    <w:p>
      <w:pPr>
        <w:pStyle w:val="style0"/>
        <w:widowControl/>
        <w:numPr>
          <w:ilvl w:val="0"/>
          <w:numId w:val="5"/>
        </w:numPr>
        <w:tabs>
          <w:tab w:leader="none" w:pos="5037" w:val="left"/>
        </w:tabs>
        <w:suppressAutoHyphens w:val="false"/>
        <w:spacing w:line="256" w:lineRule="auto"/>
        <w:ind w:hanging="357" w:left="357" w:right="0"/>
        <w:jc w:val="both"/>
      </w:pPr>
      <w:r>
        <w:rPr>
          <w:rFonts w:eastAsia="Times New Roman"/>
          <w:sz w:val="20"/>
          <w:szCs w:val="20"/>
          <w:lang w:eastAsia="ar-SA"/>
        </w:rPr>
        <w:t>Odpowiedzialność Wykonawcy jest wyłączona, gdy niewykonanie lub nienależyte wykonanie umowy jest następstwem siły wyższej.</w:t>
      </w:r>
    </w:p>
    <w:p>
      <w:pPr>
        <w:pStyle w:val="style0"/>
        <w:widowControl/>
        <w:numPr>
          <w:ilvl w:val="0"/>
          <w:numId w:val="5"/>
        </w:numPr>
        <w:tabs>
          <w:tab w:leader="none" w:pos="5037" w:val="left"/>
        </w:tabs>
        <w:suppressAutoHyphens w:val="false"/>
        <w:spacing w:line="256" w:lineRule="auto"/>
        <w:ind w:hanging="357" w:left="357" w:right="0"/>
        <w:jc w:val="both"/>
      </w:pPr>
      <w:r>
        <w:rPr>
          <w:rFonts w:eastAsia="Times New Roman"/>
          <w:sz w:val="20"/>
          <w:szCs w:val="20"/>
          <w:lang w:eastAsia="ar-SA"/>
        </w:rPr>
        <w:t>Odpowiedzialność Wykonawcy jest wyłączona w razie ustalenia sprawcy przestępstwa, o ile nie będzie to jego pracownik lub podwykonawca, a Wykonawca nie przyczynił się do powstania szkody.</w:t>
      </w:r>
    </w:p>
    <w:p>
      <w:pPr>
        <w:pStyle w:val="style0"/>
        <w:widowControl/>
        <w:numPr>
          <w:ilvl w:val="0"/>
          <w:numId w:val="5"/>
        </w:numPr>
        <w:tabs>
          <w:tab w:leader="none" w:pos="4680" w:val="left"/>
        </w:tabs>
        <w:suppressAutoHyphens w:val="false"/>
        <w:spacing w:line="256" w:lineRule="auto"/>
        <w:jc w:val="both"/>
      </w:pPr>
      <w:r>
        <w:rPr>
          <w:rFonts w:eastAsia="Times New Roman"/>
          <w:sz w:val="20"/>
          <w:szCs w:val="20"/>
          <w:lang w:eastAsia="ar-SA"/>
        </w:rPr>
        <w:t>Zamawiający zobowiązuje się do zapewnienia pomieszczenia socjalnego dla pracowników Wykonawcy i pomieszczenia przeznaczonego na składowanie narzędzi i środków czystości.</w:t>
      </w:r>
    </w:p>
    <w:p>
      <w:pPr>
        <w:pStyle w:val="style0"/>
        <w:spacing w:after="0" w:before="200"/>
        <w:contextualSpacing w:val="false"/>
        <w:jc w:val="center"/>
      </w:pPr>
      <w:r>
        <w:rPr>
          <w:rFonts w:eastAsia="Times New Roman"/>
          <w:sz w:val="20"/>
          <w:szCs w:val="20"/>
          <w:lang w:eastAsia="ar-SA"/>
        </w:rPr>
        <w:t>§ 7</w:t>
      </w:r>
    </w:p>
    <w:p>
      <w:pPr>
        <w:pStyle w:val="style0"/>
        <w:widowControl/>
        <w:numPr>
          <w:ilvl w:val="0"/>
          <w:numId w:val="15"/>
        </w:numPr>
        <w:tabs>
          <w:tab w:leader="none" w:pos="5037" w:val="left"/>
        </w:tabs>
        <w:suppressAutoHyphens w:val="false"/>
        <w:spacing w:line="256" w:lineRule="auto"/>
        <w:ind w:hanging="357" w:left="357" w:right="0"/>
        <w:jc w:val="both"/>
      </w:pPr>
      <w:r>
        <w:rPr>
          <w:rFonts w:eastAsia="Times New Roman"/>
          <w:sz w:val="20"/>
          <w:szCs w:val="20"/>
          <w:lang w:eastAsia="ar-SA"/>
        </w:rPr>
        <w:t>W przypadku niewywiązywania się przez Wykonawcę z zawartej umowy, mimo wcześniejszej interwencji Zamawiającego przesłanej drogą elektroniczną i potwierdzonej pisemnie, Zamawiający może zastosować karę umowną w wysokości 10% wartości łącznego wynagrodzenia brutto za miesiąc, w którym wystąpiły przesłanki naliczenia kary.</w:t>
      </w:r>
    </w:p>
    <w:p>
      <w:pPr>
        <w:pStyle w:val="style0"/>
        <w:widowControl/>
        <w:numPr>
          <w:ilvl w:val="0"/>
          <w:numId w:val="15"/>
        </w:numPr>
        <w:tabs>
          <w:tab w:leader="none" w:pos="5037" w:val="left"/>
        </w:tabs>
        <w:suppressAutoHyphens w:val="false"/>
        <w:spacing w:line="256" w:lineRule="auto"/>
        <w:ind w:hanging="357" w:left="357" w:right="0"/>
        <w:jc w:val="both"/>
      </w:pPr>
      <w:r>
        <w:rPr>
          <w:rFonts w:eastAsia="Times New Roman"/>
          <w:sz w:val="20"/>
          <w:szCs w:val="20"/>
          <w:lang w:eastAsia="ar-SA"/>
        </w:rPr>
        <w:t>Zapłata kary może nastąpić przez potrącenie z faktur wystawianych przez Wykonawcę.</w:t>
      </w:r>
    </w:p>
    <w:p>
      <w:pPr>
        <w:pStyle w:val="style0"/>
        <w:widowControl/>
        <w:numPr>
          <w:ilvl w:val="0"/>
          <w:numId w:val="15"/>
        </w:numPr>
        <w:tabs>
          <w:tab w:leader="none" w:pos="5037" w:val="left"/>
        </w:tabs>
        <w:suppressAutoHyphens w:val="false"/>
        <w:spacing w:line="256" w:lineRule="auto"/>
        <w:ind w:hanging="357" w:left="357" w:right="0"/>
        <w:jc w:val="both"/>
      </w:pPr>
      <w:r>
        <w:rPr>
          <w:rFonts w:eastAsia="Times New Roman"/>
          <w:sz w:val="20"/>
          <w:szCs w:val="20"/>
          <w:lang w:eastAsia="ar-SA"/>
        </w:rPr>
        <w:t>Ustalenie kary umownej, o której mowa w ust. 1, nie wyłącza uprawnienia Zamawiającego do żądania odszkodowania uzupełniającego na zasadach ogólnych.</w:t>
      </w:r>
    </w:p>
    <w:p>
      <w:pPr>
        <w:pStyle w:val="style0"/>
        <w:spacing w:after="0" w:before="200"/>
        <w:contextualSpacing w:val="false"/>
        <w:jc w:val="center"/>
      </w:pPr>
      <w:r>
        <w:rPr/>
        <w:t>§ 8</w:t>
      </w:r>
    </w:p>
    <w:p>
      <w:pPr>
        <w:pStyle w:val="style0"/>
        <w:widowControl/>
        <w:numPr>
          <w:ilvl w:val="0"/>
          <w:numId w:val="13"/>
        </w:numPr>
        <w:tabs>
          <w:tab w:leader="none" w:pos="3717" w:val="left"/>
        </w:tabs>
        <w:suppressAutoHyphens w:val="false"/>
        <w:spacing w:after="160" w:before="0" w:line="256" w:lineRule="auto"/>
        <w:ind w:hanging="357" w:left="357" w:right="0"/>
        <w:contextualSpacing/>
        <w:jc w:val="both"/>
      </w:pPr>
      <w:r>
        <w:rPr>
          <w:rFonts w:eastAsia="Times New Roman"/>
          <w:sz w:val="20"/>
          <w:szCs w:val="20"/>
          <w:lang w:eastAsia="ar-SA"/>
        </w:rPr>
        <w:t xml:space="preserve">W razie zaistnienia istotnej zmiany okoliczności powodującej, że wykonanie umowy nie leży w interesie publicznym, czego nie można było przewidzieć w chwili zawarcia umowy, Zamawiający może </w:t>
      </w:r>
      <w:r>
        <w:rPr>
          <w:rFonts w:eastAsia="Times New Roman"/>
          <w:lang w:eastAsia="ar-SA"/>
        </w:rPr>
        <w:t>odstąpić od umowy w terminie 30 dni od powzięcia wiadomości o tych okolicznościach.</w:t>
      </w:r>
    </w:p>
    <w:p>
      <w:pPr>
        <w:pStyle w:val="style0"/>
        <w:widowControl/>
        <w:numPr>
          <w:ilvl w:val="0"/>
          <w:numId w:val="13"/>
        </w:numPr>
        <w:tabs>
          <w:tab w:leader="none" w:pos="3717" w:val="left"/>
        </w:tabs>
        <w:suppressAutoHyphens w:val="false"/>
        <w:spacing w:after="160" w:before="0" w:line="256" w:lineRule="auto"/>
        <w:ind w:hanging="357" w:left="357" w:right="0"/>
        <w:contextualSpacing/>
        <w:jc w:val="both"/>
      </w:pPr>
      <w:r>
        <w:rPr>
          <w:rFonts w:eastAsia="Times New Roman"/>
          <w:lang w:eastAsia="ar-SA"/>
        </w:rPr>
        <w:t>W przypadku, o którym mowa w ust. 1, Wykonawca może żądać wyłącznie wynagrodzenia należnego z tytułu wykonania części umowy.</w:t>
      </w:r>
    </w:p>
    <w:p>
      <w:pPr>
        <w:pStyle w:val="style0"/>
        <w:widowControl/>
        <w:numPr>
          <w:ilvl w:val="0"/>
          <w:numId w:val="13"/>
        </w:numPr>
        <w:tabs>
          <w:tab w:leader="none" w:pos="3717" w:val="left"/>
        </w:tabs>
        <w:suppressAutoHyphens w:val="false"/>
        <w:spacing w:after="160" w:before="0" w:line="256" w:lineRule="auto"/>
        <w:ind w:hanging="357" w:left="357" w:right="0"/>
        <w:contextualSpacing/>
        <w:jc w:val="both"/>
      </w:pPr>
      <w:r>
        <w:rPr>
          <w:rFonts w:eastAsia="Times New Roman"/>
          <w:lang w:eastAsia="ar-SA"/>
        </w:rPr>
        <w:t>Zamawiający może wypowiedzieć umowę bez zachowania terminu wypowiedzenia, w sytuacji, kiedy Wykonawca:</w:t>
      </w:r>
    </w:p>
    <w:p>
      <w:pPr>
        <w:pStyle w:val="style0"/>
        <w:widowControl/>
        <w:numPr>
          <w:ilvl w:val="0"/>
          <w:numId w:val="30"/>
        </w:numPr>
        <w:tabs>
          <w:tab w:leader="none" w:pos="3360" w:val="left"/>
        </w:tabs>
        <w:suppressAutoHyphens w:val="false"/>
        <w:spacing w:after="160" w:before="0" w:line="256" w:lineRule="auto"/>
        <w:contextualSpacing/>
        <w:jc w:val="both"/>
      </w:pPr>
      <w:r>
        <w:rPr>
          <w:rFonts w:eastAsia="Times New Roman"/>
          <w:lang w:eastAsia="ar-SA"/>
        </w:rPr>
        <w:t>nie przedłoży dokumentów, o których mowa w § 2 ust. 3,</w:t>
      </w:r>
    </w:p>
    <w:p>
      <w:pPr>
        <w:pStyle w:val="style0"/>
        <w:widowControl/>
        <w:numPr>
          <w:ilvl w:val="0"/>
          <w:numId w:val="30"/>
        </w:numPr>
        <w:tabs>
          <w:tab w:leader="none" w:pos="4431" w:val="left"/>
        </w:tabs>
        <w:suppressAutoHyphens w:val="false"/>
        <w:spacing w:after="0" w:before="0" w:line="256" w:lineRule="auto"/>
        <w:ind w:hanging="357" w:left="1071" w:right="0"/>
        <w:contextualSpacing/>
        <w:jc w:val="both"/>
      </w:pPr>
      <w:r>
        <w:rPr>
          <w:rFonts w:cs="Calibri"/>
        </w:rPr>
        <w:t>nie przedłoży dokumentów, o których mowa w § 9 ust. 9.</w:t>
      </w:r>
    </w:p>
    <w:p>
      <w:pPr>
        <w:pStyle w:val="style0"/>
        <w:spacing w:after="0" w:before="200"/>
        <w:contextualSpacing w:val="false"/>
        <w:jc w:val="center"/>
      </w:pPr>
      <w:r>
        <w:rPr/>
        <w:t xml:space="preserve">§ </w:t>
      </w:r>
      <w:r>
        <w:rPr>
          <w:rFonts w:eastAsia="Times New Roman"/>
          <w:lang w:eastAsia="ar-SA"/>
        </w:rPr>
        <w:t>9</w:t>
      </w:r>
    </w:p>
    <w:p>
      <w:pPr>
        <w:pStyle w:val="style0"/>
        <w:widowControl/>
        <w:numPr>
          <w:ilvl w:val="0"/>
          <w:numId w:val="26"/>
        </w:numPr>
        <w:suppressAutoHyphens w:val="false"/>
        <w:spacing w:line="256" w:lineRule="auto"/>
        <w:ind w:hanging="425" w:left="425" w:right="0"/>
        <w:jc w:val="both"/>
      </w:pPr>
      <w:r>
        <w:rPr>
          <w:rFonts w:cs="Calibri"/>
        </w:rPr>
        <w:t>Strony zobowiązują się dokonać zmiany wysokości wynagrodzenia należnego Wykonawcy, o którym mowa w § 4 ust. 2 umowy, w formie pisemnego aneksu, każdorazowo w przypadku wystąpienia jednej z następujących okoliczności:</w:t>
      </w:r>
    </w:p>
    <w:p>
      <w:pPr>
        <w:pStyle w:val="style0"/>
        <w:widowControl/>
        <w:suppressAutoHyphens w:val="false"/>
        <w:ind w:hanging="425" w:left="851" w:right="0"/>
        <w:jc w:val="both"/>
      </w:pPr>
      <w:r>
        <w:rPr>
          <w:rFonts w:cs="Calibri"/>
        </w:rPr>
        <w:t>1)</w:t>
        <w:tab/>
        <w:t>zmiany stawki podatku od towarów i usług,</w:t>
      </w:r>
    </w:p>
    <w:p>
      <w:pPr>
        <w:pStyle w:val="style0"/>
        <w:widowControl/>
        <w:suppressAutoHyphens w:val="false"/>
        <w:ind w:hanging="425" w:left="851" w:right="0"/>
        <w:jc w:val="both"/>
      </w:pPr>
      <w:r>
        <w:rPr>
          <w:rFonts w:cs="Calibri"/>
        </w:rPr>
        <w:t>2)</w:t>
        <w:tab/>
        <w:t>zmiany wysokości minimalnego wynagrodzenia ustalonego na podstawie przepisów o minimalnym wynagrodzeniu za pracę,</w:t>
      </w:r>
    </w:p>
    <w:p>
      <w:pPr>
        <w:pStyle w:val="style0"/>
        <w:widowControl/>
        <w:suppressAutoHyphens w:val="false"/>
        <w:ind w:hanging="425" w:left="851" w:right="0"/>
        <w:jc w:val="both"/>
      </w:pPr>
      <w:r>
        <w:rPr>
          <w:rFonts w:cs="Calibri"/>
        </w:rPr>
        <w:t>3)</w:t>
        <w:tab/>
        <w:t>zmiany zasad podlegania ubezpieczeniom społecznym lub ubezpieczeniu zdrowotnemu lub wysokości stawki składki na ubezpieczenia społeczne lub zdrowotne</w:t>
      </w:r>
    </w:p>
    <w:p>
      <w:pPr>
        <w:pStyle w:val="style0"/>
        <w:widowControl/>
        <w:suppressAutoHyphens w:val="false"/>
        <w:ind w:hanging="0" w:left="426" w:right="0"/>
        <w:jc w:val="both"/>
      </w:pPr>
      <w:r>
        <w:rPr>
          <w:rFonts w:cs="Calibri"/>
        </w:rPr>
        <w:t>- na zasadach i w sposób określony w ust. 2 - 12, jeżeli zmiany te będą miały wpływ na koszty wykonania umowy przez Wykonawcę.</w:t>
      </w:r>
    </w:p>
    <w:p>
      <w:pPr>
        <w:pStyle w:val="style0"/>
        <w:widowControl/>
        <w:numPr>
          <w:ilvl w:val="0"/>
          <w:numId w:val="26"/>
        </w:numPr>
        <w:suppressAutoHyphens w:val="false"/>
        <w:spacing w:line="256" w:lineRule="auto"/>
        <w:ind w:hanging="357" w:left="357" w:right="0"/>
        <w:jc w:val="both"/>
      </w:pPr>
      <w:r>
        <w:rPr>
          <w:rFonts w:cs="Calibri"/>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pPr>
        <w:pStyle w:val="style0"/>
        <w:widowControl/>
        <w:numPr>
          <w:ilvl w:val="0"/>
          <w:numId w:val="26"/>
        </w:numPr>
        <w:suppressAutoHyphens w:val="false"/>
        <w:spacing w:line="256" w:lineRule="auto"/>
        <w:ind w:hanging="357" w:left="357" w:right="0"/>
        <w:jc w:val="both"/>
      </w:pPr>
      <w:r>
        <w:rPr>
          <w:rFonts w:cs="Calibri"/>
        </w:rPr>
        <w:t>W przypadku zmiany, o której mowa w ust. 1 pkt 1, wartość wynagrodzenia netto nie zmieni się, a wartość wynagrodzenia brutto zostanie wyliczona na podstawie nowych przepisów.</w:t>
      </w:r>
    </w:p>
    <w:p>
      <w:pPr>
        <w:pStyle w:val="style0"/>
        <w:widowControl/>
        <w:numPr>
          <w:ilvl w:val="0"/>
          <w:numId w:val="26"/>
        </w:numPr>
        <w:suppressAutoHyphens w:val="false"/>
        <w:spacing w:line="256" w:lineRule="auto"/>
        <w:ind w:hanging="357" w:left="357" w:right="0"/>
        <w:jc w:val="both"/>
      </w:pPr>
      <w:r>
        <w:rPr>
          <w:rFonts w:cs="Calibri"/>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pPr>
        <w:pStyle w:val="style0"/>
        <w:widowControl/>
        <w:numPr>
          <w:ilvl w:val="0"/>
          <w:numId w:val="26"/>
        </w:numPr>
        <w:suppressAutoHyphens w:val="false"/>
        <w:spacing w:line="256" w:lineRule="auto"/>
        <w:jc w:val="both"/>
      </w:pPr>
      <w:r>
        <w:rPr>
          <w:rFonts w:cs="Calibri"/>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pPr>
        <w:pStyle w:val="style0"/>
        <w:widowControl/>
        <w:numPr>
          <w:ilvl w:val="0"/>
          <w:numId w:val="26"/>
        </w:numPr>
        <w:suppressAutoHyphens w:val="false"/>
        <w:spacing w:line="256" w:lineRule="auto"/>
        <w:ind w:hanging="357" w:left="357" w:right="0"/>
        <w:jc w:val="both"/>
      </w:pPr>
      <w:r>
        <w:rPr>
          <w:rFonts w:cs="Calibri"/>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pPr>
        <w:pStyle w:val="style0"/>
        <w:widowControl/>
        <w:numPr>
          <w:ilvl w:val="0"/>
          <w:numId w:val="26"/>
        </w:numPr>
        <w:suppressAutoHyphens w:val="false"/>
        <w:spacing w:line="256" w:lineRule="auto"/>
        <w:ind w:hanging="357" w:left="357" w:right="0"/>
        <w:jc w:val="both"/>
      </w:pPr>
      <w:r>
        <w:rPr>
          <w:rFonts w:cs="Calibri"/>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pPr>
        <w:pStyle w:val="style0"/>
        <w:widowControl/>
        <w:numPr>
          <w:ilvl w:val="0"/>
          <w:numId w:val="26"/>
        </w:numPr>
        <w:suppressAutoHyphens w:val="false"/>
        <w:spacing w:line="256" w:lineRule="auto"/>
        <w:ind w:hanging="357" w:left="357" w:right="0"/>
        <w:jc w:val="both"/>
      </w:pPr>
      <w:r>
        <w:rPr>
          <w:rFonts w:cs="Calibri"/>
        </w:rPr>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pPr>
        <w:pStyle w:val="style0"/>
        <w:widowControl/>
        <w:suppressAutoHyphens w:val="false"/>
        <w:ind w:hanging="425" w:left="850" w:right="0"/>
        <w:jc w:val="both"/>
      </w:pPr>
      <w:r>
        <w:rPr>
          <w:rFonts w:cs="Calibri"/>
        </w:rPr>
        <w:t>1)</w:t>
        <w:tab/>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pPr>
        <w:pStyle w:val="style0"/>
        <w:widowControl/>
        <w:suppressAutoHyphens w:val="false"/>
        <w:ind w:hanging="425" w:left="850" w:right="0"/>
        <w:jc w:val="both"/>
      </w:pPr>
      <w:r>
        <w:rPr>
          <w:rFonts w:cs="Calibri"/>
        </w:rPr>
        <w:t>2)</w:t>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pPr>
        <w:pStyle w:val="style0"/>
        <w:widowControl/>
        <w:numPr>
          <w:ilvl w:val="0"/>
          <w:numId w:val="26"/>
        </w:numPr>
        <w:suppressAutoHyphens w:val="false"/>
        <w:spacing w:line="256" w:lineRule="auto"/>
        <w:ind w:hanging="357" w:left="357" w:right="0"/>
        <w:jc w:val="both"/>
      </w:pPr>
      <w:r>
        <w:rPr>
          <w:rFonts w:cs="Calibri"/>
        </w:rPr>
        <w:t>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W przypadku nieprzedstawienia przez Wykonawcę dokumentów w wyznaczonym terminie, Zamawiający na podstawie danych zawartych w formularzu ofertowym (stanowiącym załącznik nr 2 do umowy), dokona jednostronnie obliczenia wynagrodzenia wykonawcy z uwzględnieniem rzeczywistego wpływu zmian na koszt realizacji zamówienia.</w:t>
      </w:r>
    </w:p>
    <w:p>
      <w:pPr>
        <w:pStyle w:val="style0"/>
        <w:widowControl/>
        <w:numPr>
          <w:ilvl w:val="0"/>
          <w:numId w:val="26"/>
        </w:numPr>
        <w:suppressAutoHyphens w:val="false"/>
        <w:spacing w:line="256" w:lineRule="auto"/>
        <w:ind w:hanging="357" w:left="357" w:right="0"/>
        <w:jc w:val="both"/>
      </w:pPr>
      <w:r>
        <w:rPr>
          <w:rFonts w:cs="Calibri"/>
        </w:rPr>
        <w:t>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pPr>
        <w:pStyle w:val="style0"/>
        <w:widowControl/>
        <w:numPr>
          <w:ilvl w:val="0"/>
          <w:numId w:val="26"/>
        </w:numPr>
        <w:suppressAutoHyphens w:val="false"/>
        <w:spacing w:line="256" w:lineRule="auto"/>
        <w:ind w:hanging="357" w:left="357" w:right="0"/>
        <w:jc w:val="both"/>
      </w:pPr>
      <w:r>
        <w:rPr>
          <w:rFonts w:cs="Calibri"/>
        </w:rPr>
        <w:t xml:space="preserve">W przypadku otrzymania przez Stronę informacji o niezatwierdzeniu wniosku lub częściowym zatwierdzeniu wniosku, Strona ta może ponownie wystąpić z wnioskiem, o którym mowa </w:t>
        <w:br/>
        <w:t>w ust. 7. W takim przypadku przepisy ust. 8 - 10 oraz 12 stosuje się odpowiednio.</w:t>
      </w:r>
    </w:p>
    <w:p>
      <w:pPr>
        <w:pStyle w:val="style0"/>
        <w:widowControl/>
        <w:numPr>
          <w:ilvl w:val="0"/>
          <w:numId w:val="26"/>
        </w:numPr>
        <w:suppressAutoHyphens w:val="false"/>
        <w:spacing w:line="256" w:lineRule="auto"/>
        <w:ind w:hanging="357" w:left="357" w:right="0"/>
        <w:jc w:val="both"/>
      </w:pPr>
      <w:r>
        <w:rPr>
          <w:rFonts w:cs="Calibri"/>
        </w:rPr>
        <w:t>Zawarcie aneksu nastąpi nie później niż w terminie 7 dni roboczych od dnia zatwierdzenia wniosku o dokonanie zmiany wysokości wynagrodzenia należnego Wykonawcy.</w:t>
      </w:r>
    </w:p>
    <w:p>
      <w:pPr>
        <w:pStyle w:val="style0"/>
        <w:spacing w:after="0" w:before="200"/>
        <w:contextualSpacing w:val="false"/>
        <w:jc w:val="center"/>
      </w:pPr>
      <w:r>
        <w:rPr/>
        <w:t>§ 10</w:t>
      </w:r>
    </w:p>
    <w:p>
      <w:pPr>
        <w:pStyle w:val="style0"/>
        <w:jc w:val="both"/>
      </w:pPr>
      <w:r>
        <w:rPr/>
        <w:t>Wszelkie spory mogące wyniknąć z niniejszej umowy, Strony poddają właściwości sądów w Olsztynie.</w:t>
      </w:r>
    </w:p>
    <w:p>
      <w:pPr>
        <w:pStyle w:val="style0"/>
        <w:spacing w:after="0" w:before="200"/>
        <w:contextualSpacing w:val="false"/>
        <w:jc w:val="center"/>
      </w:pPr>
      <w:r>
        <w:rPr/>
        <w:t>§ 11</w:t>
      </w:r>
    </w:p>
    <w:p>
      <w:pPr>
        <w:pStyle w:val="style0"/>
        <w:jc w:val="both"/>
      </w:pPr>
      <w:r>
        <w:rPr/>
        <w:t>W sprawach nieuregulowanych niniejszą umową stosuje się przepisy kodeksu cywilnego oraz w sprawach procesowych przepisy kodeksu postępowania cywilnego.</w:t>
      </w:r>
    </w:p>
    <w:p>
      <w:pPr>
        <w:pStyle w:val="style0"/>
        <w:spacing w:after="0" w:before="200"/>
        <w:contextualSpacing w:val="false"/>
        <w:jc w:val="center"/>
      </w:pPr>
      <w:r>
        <w:rPr/>
        <w:t>§ 12</w:t>
      </w:r>
    </w:p>
    <w:p>
      <w:pPr>
        <w:pStyle w:val="style0"/>
        <w:jc w:val="both"/>
      </w:pPr>
      <w:r>
        <w:rPr/>
        <w:t>Umowę niniejszą sporządzono w dwóch jednobrzmiących egzemplarzach, po jednym dla każdej ze Stron.</w:t>
      </w:r>
    </w:p>
    <w:p>
      <w:pPr>
        <w:pStyle w:val="style0"/>
        <w:jc w:val="both"/>
      </w:pPr>
      <w:r>
        <w:rPr>
          <w:rFonts w:eastAsia="Times New Roman"/>
          <w:b/>
          <w:sz w:val="20"/>
          <w:szCs w:val="20"/>
          <w:lang w:eastAsia="ar-SA"/>
        </w:rPr>
      </w:r>
    </w:p>
    <w:p>
      <w:pPr>
        <w:pStyle w:val="style0"/>
        <w:jc w:val="both"/>
      </w:pPr>
      <w:r>
        <w:rPr>
          <w:rFonts w:eastAsia="Times New Roman"/>
          <w:b/>
          <w:sz w:val="20"/>
          <w:szCs w:val="20"/>
          <w:lang w:eastAsia="ar-SA"/>
        </w:rPr>
      </w:r>
    </w:p>
    <w:p>
      <w:pPr>
        <w:sectPr>
          <w:footerReference r:id="rId15" w:type="default"/>
          <w:footnotePr>
            <w:numFmt w:val="decimal"/>
          </w:footnotePr>
          <w:type w:val="nextPage"/>
          <w:pgSz w:h="16838" w:w="11906"/>
          <w:pgMar w:bottom="1648" w:footer="1134" w:gutter="0" w:header="0" w:left="1134" w:right="1134" w:top="1134"/>
          <w:pgNumType w:fmt="decimal"/>
          <w:formProt w:val="false"/>
          <w:textDirection w:val="lrTb"/>
          <w:docGrid w:charSpace="0" w:linePitch="360" w:type="default"/>
        </w:sectPr>
        <w:pStyle w:val="style0"/>
        <w:jc w:val="both"/>
      </w:pPr>
      <w:r>
        <w:rPr>
          <w:rFonts w:eastAsia="Times New Roman"/>
          <w:b/>
          <w:sz w:val="20"/>
          <w:szCs w:val="20"/>
          <w:lang w:eastAsia="ar-SA"/>
        </w:rPr>
        <w:t>ZAMAWIAJĄCY</w:t>
        <w:tab/>
        <w:tab/>
        <w:tab/>
        <w:tab/>
        <w:tab/>
        <w:tab/>
        <w:tab/>
        <w:tab/>
        <w:tab/>
        <w:t>WYKONAWCA</w:t>
      </w:r>
    </w:p>
    <w:p>
      <w:pPr>
        <w:pStyle w:val="style0"/>
        <w:jc w:val="both"/>
      </w:pPr>
      <w:r>
        <w:rPr>
          <w:rFonts w:cs="Tahoma"/>
          <w:b/>
          <w:bCs/>
        </w:rPr>
        <w:t>XXIV-38/01/16</w:t>
        <w:tab/>
        <w:tab/>
        <w:tab/>
        <w:tab/>
        <w:tab/>
        <w:tab/>
        <w:t xml:space="preserve">       </w:t>
      </w:r>
      <w:r>
        <w:rPr>
          <w:rFonts w:cs="Tahoma"/>
          <w:b/>
          <w:bCs/>
          <w:i/>
          <w:iCs/>
        </w:rPr>
        <w:t>ZAŁĄCZNIK NR 1 DO UMOWY</w:t>
      </w:r>
    </w:p>
    <w:p>
      <w:pPr>
        <w:pStyle w:val="style0"/>
        <w:jc w:val="both"/>
      </w:pPr>
      <w:r>
        <w:rPr>
          <w:rFonts w:cs="Tahoma"/>
          <w:b/>
          <w:bCs/>
        </w:rPr>
      </w:r>
    </w:p>
    <w:p>
      <w:pPr>
        <w:pStyle w:val="style0"/>
        <w:jc w:val="both"/>
      </w:pPr>
      <w:r>
        <w:rPr>
          <w:rFonts w:cs="Tahoma"/>
          <w:b/>
          <w:bCs/>
        </w:rPr>
        <w:t>ZAKRES OBOWIĄZKÓW I CZYNNOŚCI WYKONAWCY.</w:t>
      </w:r>
    </w:p>
    <w:p>
      <w:pPr>
        <w:pStyle w:val="style0"/>
        <w:jc w:val="both"/>
      </w:pPr>
      <w:r>
        <w:rPr>
          <w:rFonts w:cs="Tahoma"/>
          <w:b/>
          <w:bCs/>
        </w:rPr>
      </w:r>
    </w:p>
    <w:p>
      <w:pPr>
        <w:pStyle w:val="style39"/>
        <w:numPr>
          <w:ilvl w:val="0"/>
          <w:numId w:val="19"/>
        </w:numPr>
        <w:jc w:val="both"/>
      </w:pPr>
      <w:r>
        <w:rPr>
          <w:rFonts w:cs="Tahoma"/>
          <w:b/>
          <w:bCs/>
        </w:rPr>
        <w:t>Budynek główny</w:t>
      </w:r>
    </w:p>
    <w:p>
      <w:pPr>
        <w:pStyle w:val="style39"/>
        <w:numPr>
          <w:ilvl w:val="0"/>
          <w:numId w:val="20"/>
        </w:numPr>
        <w:ind w:hanging="357" w:left="357" w:right="0"/>
        <w:jc w:val="both"/>
      </w:pPr>
      <w:r>
        <w:rPr>
          <w:rFonts w:cs="Tahoma"/>
        </w:rPr>
        <w:t>Powierzchnia ogółem: 1929 m</w:t>
      </w:r>
      <w:r>
        <w:rPr>
          <w:rFonts w:cs="Tahoma"/>
          <w:vertAlign w:val="superscript"/>
        </w:rPr>
        <w:t>2</w:t>
      </w:r>
      <w:r>
        <w:rPr>
          <w:rFonts w:cs="Tahoma"/>
        </w:rPr>
        <w:t>, w tym:</w:t>
      </w:r>
    </w:p>
    <w:p>
      <w:pPr>
        <w:pStyle w:val="style39"/>
        <w:numPr>
          <w:ilvl w:val="0"/>
          <w:numId w:val="21"/>
        </w:numPr>
        <w:jc w:val="both"/>
      </w:pPr>
      <w:r>
        <w:rPr>
          <w:rFonts w:cs="Tahoma"/>
        </w:rPr>
        <w:t>glazura, terakota, pcv:</w:t>
        <w:tab/>
        <w:tab/>
        <w:t>567 m</w:t>
      </w:r>
      <w:r>
        <w:rPr>
          <w:rFonts w:cs="Tahoma"/>
          <w:vertAlign w:val="superscript"/>
        </w:rPr>
        <w:t>2</w:t>
      </w:r>
    </w:p>
    <w:p>
      <w:pPr>
        <w:pStyle w:val="style39"/>
        <w:numPr>
          <w:ilvl w:val="0"/>
          <w:numId w:val="21"/>
        </w:numPr>
        <w:jc w:val="both"/>
      </w:pPr>
      <w:r>
        <w:rPr>
          <w:rFonts w:cs="Tahoma"/>
        </w:rPr>
        <w:t>wykładzina dywanowa, flotex:</w:t>
        <w:tab/>
        <w:t>1362 m</w:t>
      </w:r>
      <w:r>
        <w:rPr>
          <w:rFonts w:cs="Tahoma"/>
          <w:vertAlign w:val="superscript"/>
        </w:rPr>
        <w:t>2</w:t>
      </w:r>
    </w:p>
    <w:p>
      <w:pPr>
        <w:pStyle w:val="style39"/>
        <w:numPr>
          <w:ilvl w:val="0"/>
          <w:numId w:val="20"/>
        </w:numPr>
        <w:ind w:hanging="357" w:left="357" w:right="0"/>
        <w:jc w:val="both"/>
      </w:pPr>
      <w:r>
        <w:rPr>
          <w:rFonts w:cs="Tahoma"/>
        </w:rPr>
        <w:t>Powierzchnie przeszklone (okna, drzwi, witryny): 606 m</w:t>
      </w:r>
      <w:r>
        <w:rPr>
          <w:rFonts w:cs="Tahoma"/>
          <w:vertAlign w:val="superscript"/>
        </w:rPr>
        <w:t>2</w:t>
      </w:r>
      <w:r>
        <w:rPr>
          <w:rFonts w:cs="Tahoma"/>
        </w:rPr>
        <w:t>, w tym 80 m</w:t>
      </w:r>
      <w:r>
        <w:rPr>
          <w:rFonts w:cs="Tahoma"/>
          <w:vertAlign w:val="superscript"/>
        </w:rPr>
        <w:t xml:space="preserve">2 </w:t>
      </w:r>
      <w:r>
        <w:rPr>
          <w:rFonts w:cs="Tahoma"/>
        </w:rPr>
        <w:t>okien na II piętrze, bez możliwości otwarcia (mycie powierzchni zewnętrznych z użyciem specjalistycznego sprzętu).</w:t>
      </w:r>
    </w:p>
    <w:p>
      <w:pPr>
        <w:pStyle w:val="style39"/>
        <w:numPr>
          <w:ilvl w:val="0"/>
          <w:numId w:val="20"/>
        </w:numPr>
        <w:ind w:hanging="357" w:left="357" w:right="0"/>
        <w:jc w:val="both"/>
      </w:pPr>
      <w:r>
        <w:rPr>
          <w:rFonts w:cs="Tahoma"/>
        </w:rPr>
        <w:t>Liczba osób przebywających w budynku (średnio): 60 osób</w:t>
      </w:r>
    </w:p>
    <w:p>
      <w:pPr>
        <w:pStyle w:val="style0"/>
        <w:spacing w:after="0" w:before="60"/>
        <w:contextualSpacing w:val="false"/>
        <w:jc w:val="both"/>
      </w:pPr>
      <w:r>
        <w:rPr>
          <w:rFonts w:cs="Tahoma"/>
          <w:b/>
          <w:bCs/>
        </w:rPr>
        <w:t>1.1. Zakres i częstotliwość wykonywanych prac.</w:t>
      </w:r>
    </w:p>
    <w:p>
      <w:pPr>
        <w:pStyle w:val="style0"/>
        <w:numPr>
          <w:ilvl w:val="0"/>
          <w:numId w:val="6"/>
        </w:numPr>
        <w:jc w:val="both"/>
      </w:pPr>
      <w:r>
        <w:rPr>
          <w:rFonts w:cs="Tahoma"/>
        </w:rPr>
        <w:t>odkurzanie wykładzin ……...................................................... codziennie</w:t>
      </w:r>
    </w:p>
    <w:p>
      <w:pPr>
        <w:pStyle w:val="style0"/>
        <w:numPr>
          <w:ilvl w:val="0"/>
          <w:numId w:val="6"/>
        </w:numPr>
        <w:jc w:val="both"/>
      </w:pPr>
      <w:r>
        <w:rPr>
          <w:rFonts w:cs="Tahoma"/>
        </w:rPr>
        <w:t>zamiatanie i mycie posadzek ................................................... codziennie</w:t>
      </w:r>
    </w:p>
    <w:p>
      <w:pPr>
        <w:pStyle w:val="style0"/>
        <w:numPr>
          <w:ilvl w:val="0"/>
          <w:numId w:val="6"/>
        </w:numPr>
        <w:jc w:val="both"/>
      </w:pPr>
      <w:r>
        <w:rPr>
          <w:rFonts w:cs="Tahoma"/>
        </w:rPr>
        <w:t>czyszczenie wycieraczek przy drzwiach wejściowych ............ codziennie</w:t>
      </w:r>
    </w:p>
    <w:p>
      <w:pPr>
        <w:pStyle w:val="style0"/>
        <w:numPr>
          <w:ilvl w:val="0"/>
          <w:numId w:val="6"/>
        </w:numPr>
        <w:jc w:val="both"/>
      </w:pPr>
      <w:r>
        <w:rPr>
          <w:rFonts w:cs="Tahoma"/>
        </w:rPr>
        <w:t>odkurzanie i przecieranie mebli ............................................... codziennie</w:t>
      </w:r>
    </w:p>
    <w:p>
      <w:pPr>
        <w:pStyle w:val="style0"/>
        <w:numPr>
          <w:ilvl w:val="0"/>
          <w:numId w:val="6"/>
        </w:numPr>
        <w:jc w:val="both"/>
      </w:pPr>
      <w:r>
        <w:rPr>
          <w:rFonts w:cs="Tahoma"/>
        </w:rPr>
        <w:t>opróżnianie koszy na śmieci .................................................... codziennie</w:t>
      </w:r>
    </w:p>
    <w:p>
      <w:pPr>
        <w:pStyle w:val="style0"/>
        <w:numPr>
          <w:ilvl w:val="0"/>
          <w:numId w:val="6"/>
        </w:numPr>
        <w:jc w:val="both"/>
      </w:pPr>
      <w:r>
        <w:rPr>
          <w:rFonts w:cs="Tahoma"/>
        </w:rPr>
        <w:t>czyszczenie drobnych zabrudzeń wykładzin ........................... w miarę potrzeb</w:t>
      </w:r>
    </w:p>
    <w:p>
      <w:pPr>
        <w:pStyle w:val="style0"/>
        <w:numPr>
          <w:ilvl w:val="0"/>
          <w:numId w:val="6"/>
        </w:numPr>
        <w:jc w:val="both"/>
      </w:pPr>
      <w:r>
        <w:rPr>
          <w:rFonts w:cs="Tahoma"/>
        </w:rPr>
        <w:t>mycie schodów ........................................................................ codziennie</w:t>
      </w:r>
    </w:p>
    <w:p>
      <w:pPr>
        <w:pStyle w:val="style0"/>
        <w:numPr>
          <w:ilvl w:val="0"/>
          <w:numId w:val="6"/>
        </w:numPr>
        <w:jc w:val="both"/>
      </w:pPr>
      <w:r>
        <w:rPr>
          <w:rFonts w:cs="Tahoma"/>
        </w:rPr>
        <w:t>czyszczenie urządzeń sanitarno-higienicznych ....................... codziennie</w:t>
      </w:r>
    </w:p>
    <w:p>
      <w:pPr>
        <w:pStyle w:val="style0"/>
        <w:numPr>
          <w:ilvl w:val="0"/>
          <w:numId w:val="6"/>
        </w:numPr>
        <w:jc w:val="both"/>
      </w:pPr>
      <w:r>
        <w:rPr>
          <w:rFonts w:cs="Tahoma"/>
        </w:rPr>
        <w:t>mycie ścian w pomieszczeniach sanitarnych .......................... w miarę potrzeb</w:t>
      </w:r>
    </w:p>
    <w:p>
      <w:pPr>
        <w:pStyle w:val="style0"/>
        <w:numPr>
          <w:ilvl w:val="0"/>
          <w:numId w:val="6"/>
        </w:numPr>
        <w:jc w:val="both"/>
      </w:pPr>
      <w:r>
        <w:rPr>
          <w:rFonts w:cs="Tahoma"/>
        </w:rPr>
        <w:t>uzupełnianie mydła, papieru toaletowego, ręczników ............ codziennie</w:t>
      </w:r>
    </w:p>
    <w:p>
      <w:pPr>
        <w:pStyle w:val="style0"/>
        <w:numPr>
          <w:ilvl w:val="0"/>
          <w:numId w:val="6"/>
        </w:numPr>
        <w:jc w:val="both"/>
      </w:pPr>
      <w:r>
        <w:rPr>
          <w:rFonts w:cs="Tahoma"/>
        </w:rPr>
        <w:t>mycie okien ............................................................................. 2 x w roku</w:t>
      </w:r>
    </w:p>
    <w:p>
      <w:pPr>
        <w:pStyle w:val="style0"/>
        <w:numPr>
          <w:ilvl w:val="0"/>
          <w:numId w:val="6"/>
        </w:numPr>
        <w:jc w:val="both"/>
      </w:pPr>
      <w:r>
        <w:rPr>
          <w:rFonts w:cs="Tahoma"/>
        </w:rPr>
        <w:t>mycie przeszkleń wewnętrznych ............................................. 2 x w tygodniu</w:t>
      </w:r>
    </w:p>
    <w:p>
      <w:pPr>
        <w:pStyle w:val="style0"/>
        <w:numPr>
          <w:ilvl w:val="0"/>
          <w:numId w:val="6"/>
        </w:numPr>
        <w:jc w:val="both"/>
      </w:pPr>
      <w:r>
        <w:rPr>
          <w:rFonts w:cs="Tahoma"/>
        </w:rPr>
        <w:t>pranie wykładzin (dywanowa, flotex) ..................................... 1 x w roku</w:t>
      </w:r>
    </w:p>
    <w:p>
      <w:pPr>
        <w:pStyle w:val="style39"/>
        <w:numPr>
          <w:ilvl w:val="1"/>
          <w:numId w:val="4"/>
        </w:numPr>
        <w:spacing w:after="0" w:before="60"/>
        <w:contextualSpacing/>
        <w:jc w:val="both"/>
      </w:pPr>
      <w:r>
        <w:rPr>
          <w:rFonts w:cs="Tahoma"/>
          <w:b/>
          <w:bCs/>
        </w:rPr>
        <w:t xml:space="preserve"> </w:t>
      </w:r>
      <w:r>
        <w:rPr>
          <w:rFonts w:cs="Tahoma"/>
          <w:b/>
          <w:bCs/>
        </w:rPr>
        <w:t>Czas wykonywania prac.</w:t>
      </w:r>
    </w:p>
    <w:p>
      <w:pPr>
        <w:pStyle w:val="style0"/>
        <w:numPr>
          <w:ilvl w:val="0"/>
          <w:numId w:val="10"/>
        </w:numPr>
        <w:jc w:val="both"/>
      </w:pPr>
      <w:r>
        <w:rPr>
          <w:rFonts w:cs="Tahoma"/>
        </w:rPr>
        <w:t xml:space="preserve">reżyserki i studia, serwerownia, informatycy, archiwum dźwiękowe - godz. </w:t>
      </w:r>
      <w:r>
        <w:rPr>
          <w:rFonts w:cs="Tahoma"/>
          <w:b/>
          <w:bCs/>
        </w:rPr>
        <w:t xml:space="preserve">7:30 – 15:30 </w:t>
      </w:r>
      <w:r>
        <w:rPr>
          <w:rFonts w:cs="Tahoma"/>
        </w:rPr>
        <w:t>lub w uzgodnieniu z użytkownikami pomieszczeń,</w:t>
      </w:r>
    </w:p>
    <w:p>
      <w:pPr>
        <w:pStyle w:val="style0"/>
        <w:numPr>
          <w:ilvl w:val="0"/>
          <w:numId w:val="10"/>
        </w:numPr>
        <w:jc w:val="both"/>
      </w:pPr>
      <w:r>
        <w:rPr>
          <w:rFonts w:cs="Tahoma"/>
        </w:rPr>
        <w:t xml:space="preserve">sanitariaty, ciągi komunikacyjne (sprzątanie bieżące) – godz. </w:t>
      </w:r>
      <w:r>
        <w:rPr>
          <w:rFonts w:cs="Tahoma"/>
          <w:b/>
          <w:bCs/>
        </w:rPr>
        <w:t>7:00 – 15:00</w:t>
      </w:r>
    </w:p>
    <w:p>
      <w:pPr>
        <w:pStyle w:val="style0"/>
        <w:ind w:firstLine="349" w:left="360" w:right="0"/>
        <w:jc w:val="both"/>
      </w:pPr>
      <w:r>
        <w:rPr>
          <w:rFonts w:cs="Tahoma"/>
          <w:i/>
          <w:u w:val="single"/>
        </w:rPr>
        <w:t>Uwaga:</w:t>
      </w:r>
    </w:p>
    <w:p>
      <w:pPr>
        <w:pStyle w:val="style0"/>
        <w:numPr>
          <w:ilvl w:val="0"/>
          <w:numId w:val="22"/>
        </w:numPr>
        <w:jc w:val="both"/>
      </w:pPr>
      <w:r>
        <w:rPr>
          <w:rFonts w:cs="Tahoma"/>
        </w:rPr>
        <w:t>w godzinach 7:00 – 15:00 wymagana jest stała obecność osoby sprzątającej</w:t>
      </w:r>
      <w:r>
        <w:rPr>
          <w:rFonts w:cs="Tahoma"/>
          <w:b/>
          <w:bCs/>
        </w:rPr>
        <w:t>,</w:t>
      </w:r>
    </w:p>
    <w:p>
      <w:pPr>
        <w:pStyle w:val="style0"/>
        <w:numPr>
          <w:ilvl w:val="0"/>
          <w:numId w:val="22"/>
        </w:numPr>
        <w:jc w:val="both"/>
      </w:pPr>
      <w:r>
        <w:rPr>
          <w:rFonts w:cs="Tahoma"/>
          <w:bCs/>
        </w:rPr>
        <w:t>pierwsze bieżące sprzątanie sanitariatów powinno być wykonane przed godziną 7:30,</w:t>
      </w:r>
    </w:p>
    <w:p>
      <w:pPr>
        <w:pStyle w:val="style0"/>
        <w:numPr>
          <w:ilvl w:val="0"/>
          <w:numId w:val="10"/>
        </w:numPr>
        <w:jc w:val="both"/>
      </w:pPr>
      <w:r>
        <w:rPr>
          <w:rFonts w:cs="Tahoma"/>
        </w:rPr>
        <w:t xml:space="preserve">sanitariaty – po godz. </w:t>
      </w:r>
      <w:r>
        <w:rPr>
          <w:rFonts w:cs="Tahoma"/>
          <w:b/>
          <w:bCs/>
        </w:rPr>
        <w:t>15:30,</w:t>
      </w:r>
    </w:p>
    <w:p>
      <w:pPr>
        <w:pStyle w:val="style0"/>
        <w:numPr>
          <w:ilvl w:val="0"/>
          <w:numId w:val="10"/>
        </w:numPr>
        <w:jc w:val="both"/>
      </w:pPr>
      <w:r>
        <w:rPr>
          <w:rFonts w:cs="Tahoma"/>
        </w:rPr>
        <w:t xml:space="preserve">pozostałe pomieszczenia i ciągi komunikacyjne – po godz. </w:t>
      </w:r>
      <w:r>
        <w:rPr>
          <w:rFonts w:cs="Tahoma"/>
          <w:b/>
          <w:bCs/>
        </w:rPr>
        <w:t>15:30.</w:t>
      </w:r>
    </w:p>
    <w:p>
      <w:pPr>
        <w:pStyle w:val="style39"/>
        <w:numPr>
          <w:ilvl w:val="1"/>
          <w:numId w:val="4"/>
        </w:numPr>
        <w:spacing w:after="0" w:before="60"/>
        <w:contextualSpacing/>
        <w:jc w:val="both"/>
      </w:pPr>
      <w:r>
        <w:rPr>
          <w:rFonts w:cs="Tahoma"/>
          <w:b/>
          <w:bCs/>
        </w:rPr>
        <w:t xml:space="preserve"> </w:t>
      </w:r>
      <w:r>
        <w:rPr>
          <w:rFonts w:cs="Tahoma"/>
          <w:b/>
          <w:bCs/>
        </w:rPr>
        <w:t xml:space="preserve">Usuwanie śniegu z dachu – </w:t>
      </w:r>
      <w:r>
        <w:rPr>
          <w:rFonts w:cs="Tahoma"/>
        </w:rPr>
        <w:t>powierzchnia ogółem: 1000 m</w:t>
      </w:r>
      <w:r>
        <w:rPr>
          <w:rFonts w:cs="Tahoma"/>
          <w:vertAlign w:val="superscript"/>
        </w:rPr>
        <w:t>2</w:t>
      </w:r>
      <w:r>
        <w:rPr>
          <w:rFonts w:cs="Tahoma"/>
          <w:b/>
          <w:bCs/>
        </w:rPr>
        <w:t>.</w:t>
      </w:r>
    </w:p>
    <w:p>
      <w:pPr>
        <w:pStyle w:val="style0"/>
        <w:jc w:val="both"/>
      </w:pPr>
      <w:r>
        <w:rPr>
          <w:rFonts w:cs="Tahoma"/>
        </w:rPr>
        <w:t>W przypadku wystąpienia pokrywy śnieżnej na dachu budynku głównego (bryły A, B, studio nagrań), o średniej grubości przekraczającej 30 cm, śnieg należy usunąć z dachu i wywieźć w miejsce wyznaczone przez Urząd Miasta Olsztyn.</w:t>
      </w:r>
    </w:p>
    <w:p>
      <w:pPr>
        <w:pStyle w:val="style0"/>
        <w:jc w:val="both"/>
      </w:pPr>
      <w:r>
        <w:rPr>
          <w:rFonts w:cs="Tahoma"/>
        </w:rPr>
        <w:t>Termin i technologię usuwania śniegu należy uzgodnić z wymienionym w § 5 ust. 1 umowy przedstawicielem Zamawiającego.</w:t>
      </w:r>
    </w:p>
    <w:p>
      <w:pPr>
        <w:pStyle w:val="style39"/>
        <w:numPr>
          <w:ilvl w:val="0"/>
          <w:numId w:val="4"/>
        </w:numPr>
        <w:spacing w:after="0" w:before="120"/>
        <w:contextualSpacing/>
        <w:jc w:val="both"/>
      </w:pPr>
      <w:r>
        <w:rPr>
          <w:rFonts w:cs="Tahoma"/>
          <w:b/>
          <w:bCs/>
        </w:rPr>
        <w:t>Budynek zaplecza technicznego</w:t>
      </w:r>
    </w:p>
    <w:p>
      <w:pPr>
        <w:pStyle w:val="style39"/>
        <w:numPr>
          <w:ilvl w:val="0"/>
          <w:numId w:val="23"/>
        </w:numPr>
        <w:spacing w:after="0" w:before="120"/>
        <w:ind w:hanging="357" w:left="527" w:right="0"/>
        <w:contextualSpacing/>
        <w:jc w:val="both"/>
      </w:pPr>
      <w:r>
        <w:rPr>
          <w:rFonts w:cs="Tahoma"/>
        </w:rPr>
        <w:t xml:space="preserve">Powierzchnia ogółem: </w:t>
        <w:tab/>
        <w:tab/>
        <w:tab/>
        <w:t>222 m</w:t>
      </w:r>
      <w:r>
        <w:rPr>
          <w:rFonts w:cs="Tahoma"/>
          <w:vertAlign w:val="superscript"/>
        </w:rPr>
        <w:t>2</w:t>
      </w:r>
    </w:p>
    <w:p>
      <w:pPr>
        <w:pStyle w:val="style39"/>
        <w:numPr>
          <w:ilvl w:val="0"/>
          <w:numId w:val="23"/>
        </w:numPr>
        <w:spacing w:after="0" w:before="120"/>
        <w:ind w:hanging="357" w:left="527" w:right="0"/>
        <w:contextualSpacing/>
        <w:jc w:val="both"/>
      </w:pPr>
      <w:r>
        <w:rPr>
          <w:rFonts w:cs="Tahoma"/>
        </w:rPr>
        <w:t xml:space="preserve">Okna: </w:t>
        <w:tab/>
        <w:tab/>
        <w:tab/>
        <w:tab/>
        <w:tab/>
        <w:t>13 m</w:t>
      </w:r>
      <w:r>
        <w:rPr>
          <w:rFonts w:cs="Tahoma"/>
          <w:vertAlign w:val="superscript"/>
        </w:rPr>
        <w:t>2</w:t>
      </w:r>
    </w:p>
    <w:p>
      <w:pPr>
        <w:pStyle w:val="style0"/>
        <w:spacing w:after="0" w:before="60"/>
        <w:contextualSpacing w:val="false"/>
        <w:jc w:val="both"/>
      </w:pPr>
      <w:r>
        <w:rPr>
          <w:rFonts w:cs="Tahoma"/>
          <w:b/>
          <w:bCs/>
        </w:rPr>
        <w:t>2.1. Zakres i częstotliwość wykonywanych prac.</w:t>
      </w:r>
    </w:p>
    <w:p>
      <w:pPr>
        <w:pStyle w:val="style0"/>
        <w:numPr>
          <w:ilvl w:val="0"/>
          <w:numId w:val="7"/>
        </w:numPr>
        <w:jc w:val="both"/>
      </w:pPr>
      <w:r>
        <w:rPr>
          <w:rFonts w:cs="Tahoma"/>
        </w:rPr>
        <w:t>kompleksowe sprzątanie łazienki ............................................. 2 x w tygodniu</w:t>
      </w:r>
    </w:p>
    <w:p>
      <w:pPr>
        <w:pStyle w:val="style0"/>
        <w:numPr>
          <w:ilvl w:val="0"/>
          <w:numId w:val="7"/>
        </w:numPr>
        <w:jc w:val="both"/>
      </w:pPr>
      <w:r>
        <w:rPr>
          <w:rFonts w:cs="Tahoma"/>
        </w:rPr>
        <w:t>uzupełnianie mydła, papieru toaletowego, ręczników ............. w miarę potrzeb</w:t>
      </w:r>
    </w:p>
    <w:p>
      <w:pPr>
        <w:pStyle w:val="style0"/>
        <w:numPr>
          <w:ilvl w:val="0"/>
          <w:numId w:val="7"/>
        </w:numPr>
        <w:jc w:val="both"/>
      </w:pPr>
      <w:r>
        <w:rPr>
          <w:rFonts w:cs="Tahoma"/>
        </w:rPr>
        <w:t>sprzątanie pomieszczeń garażowych ........................................ 1 x w tygodniu</w:t>
      </w:r>
    </w:p>
    <w:p>
      <w:pPr>
        <w:pStyle w:val="style0"/>
        <w:numPr>
          <w:ilvl w:val="0"/>
          <w:numId w:val="7"/>
        </w:numPr>
        <w:jc w:val="both"/>
      </w:pPr>
      <w:r>
        <w:rPr>
          <w:rFonts w:cs="Tahoma"/>
        </w:rPr>
        <w:t>mycie okien .............................................................................. 2 x w roku</w:t>
      </w:r>
    </w:p>
    <w:p>
      <w:pPr>
        <w:pStyle w:val="style0"/>
        <w:spacing w:after="0" w:before="120"/>
        <w:contextualSpacing w:val="false"/>
        <w:jc w:val="both"/>
      </w:pPr>
      <w:r>
        <w:rPr>
          <w:rFonts w:cs="Tahoma"/>
          <w:b/>
          <w:bCs/>
        </w:rPr>
        <w:t xml:space="preserve">3. Parking wewnętrzny </w:t>
      </w:r>
      <w:r>
        <w:rPr>
          <w:rFonts w:cs="Tahoma"/>
        </w:rPr>
        <w:t>(860 m</w:t>
      </w:r>
      <w:r>
        <w:rPr>
          <w:rFonts w:cs="Tahoma"/>
          <w:vertAlign w:val="superscript"/>
        </w:rPr>
        <w:t>2</w:t>
      </w:r>
      <w:r>
        <w:rPr>
          <w:rFonts w:cs="Tahoma"/>
        </w:rPr>
        <w:t xml:space="preserve">) oraz </w:t>
      </w:r>
      <w:r>
        <w:rPr>
          <w:rFonts w:cs="Tahoma"/>
          <w:b/>
          <w:bCs/>
        </w:rPr>
        <w:t xml:space="preserve">parking przed budynkiem głównym </w:t>
      </w:r>
      <w:r>
        <w:rPr>
          <w:rFonts w:cs="Tahoma"/>
        </w:rPr>
        <w:t>(140 m</w:t>
      </w:r>
      <w:r>
        <w:rPr>
          <w:rFonts w:cs="Tahoma"/>
          <w:vertAlign w:val="superscript"/>
        </w:rPr>
        <w:t>2</w:t>
      </w:r>
      <w:r>
        <w:rPr>
          <w:rFonts w:cs="Tahoma"/>
        </w:rPr>
        <w:t>)</w:t>
      </w:r>
    </w:p>
    <w:p>
      <w:pPr>
        <w:pStyle w:val="style0"/>
        <w:spacing w:after="0" w:before="60"/>
        <w:contextualSpacing w:val="false"/>
        <w:jc w:val="both"/>
      </w:pPr>
      <w:r>
        <w:rPr>
          <w:rFonts w:cs="Tahoma"/>
          <w:b/>
          <w:bCs/>
        </w:rPr>
        <w:t>3.1. Zakres i częstotliwość wykonywanych prac.</w:t>
      </w:r>
    </w:p>
    <w:p>
      <w:pPr>
        <w:pStyle w:val="style0"/>
        <w:numPr>
          <w:ilvl w:val="0"/>
          <w:numId w:val="8"/>
        </w:numPr>
        <w:jc w:val="both"/>
      </w:pPr>
      <w:r>
        <w:rPr>
          <w:rFonts w:cs="Tahoma"/>
        </w:rPr>
        <w:t>sprzątanie w okresie wiosna – jesień ...................................... w miarę potrzeb</w:t>
      </w:r>
    </w:p>
    <w:p>
      <w:pPr>
        <w:pStyle w:val="style0"/>
        <w:numPr>
          <w:ilvl w:val="0"/>
          <w:numId w:val="8"/>
        </w:numPr>
        <w:jc w:val="both"/>
      </w:pPr>
      <w:r>
        <w:rPr>
          <w:rFonts w:cs="Tahoma"/>
        </w:rPr>
        <w:t>odśnieżanie ............................................................................. w miarę potrzeb</w:t>
      </w:r>
    </w:p>
    <w:p>
      <w:pPr>
        <w:pStyle w:val="style0"/>
        <w:jc w:val="both"/>
      </w:pPr>
      <w:r>
        <w:rPr>
          <w:rFonts w:cs="Tahoma"/>
          <w:i/>
          <w:iCs/>
          <w:u w:val="single"/>
        </w:rPr>
        <w:t>Uwaga:</w:t>
      </w:r>
    </w:p>
    <w:p>
      <w:pPr>
        <w:pStyle w:val="style39"/>
        <w:numPr>
          <w:ilvl w:val="0"/>
          <w:numId w:val="24"/>
        </w:numPr>
        <w:ind w:hanging="284" w:left="454" w:right="0"/>
        <w:jc w:val="both"/>
      </w:pPr>
      <w:r>
        <w:rPr>
          <w:rFonts w:cs="Tahoma"/>
        </w:rPr>
        <w:t>Wykonawca musi zapewnić odśnieżanie parkingów w sposób gwarantujący dostępność wszystkich miejsc postojowych od godziny 7:30 w dni robocze. W pozostałych dniach wymagana jest dostępność od godziny 8:00 miejsc postojowych na parkingu przed budynkiem głównym. Śnieg usuwany z terenu parkingów należy sukcesywnie wywozić w miejsce wyznaczone przez Urząd Miasta Olsztyn.</w:t>
      </w:r>
    </w:p>
    <w:p>
      <w:pPr>
        <w:pStyle w:val="style39"/>
        <w:numPr>
          <w:ilvl w:val="0"/>
          <w:numId w:val="24"/>
        </w:numPr>
        <w:ind w:hanging="284" w:left="454" w:right="0"/>
        <w:jc w:val="both"/>
      </w:pPr>
      <w:r>
        <w:rPr>
          <w:rFonts w:cs="Tahoma"/>
        </w:rPr>
        <w:t>Wykonawca powinien rozpocząć odśnieżanie bez uprzedniego wezwania przez Zamawiającego i w czasie gwarantującym spełnienie warunków, o których mowa w punkcie 1 uwagi.</w:t>
      </w:r>
    </w:p>
    <w:p>
      <w:pPr>
        <w:pStyle w:val="style39"/>
        <w:numPr>
          <w:ilvl w:val="0"/>
          <w:numId w:val="24"/>
        </w:numPr>
        <w:ind w:hanging="284" w:left="454" w:right="0"/>
        <w:jc w:val="both"/>
      </w:pPr>
      <w:r>
        <w:rPr>
          <w:rFonts w:cs="Tahoma"/>
        </w:rPr>
        <w:t>W razie pojawienia się opadów śniegu po godzinach, o których mowa w punkcie 1 uwagi, Wykonawca powinien natychmiast, bez wezwania przez Zamawiającego przystąpić do sukcesywnego odśnieżania parkingów w zakresie podanym w punkcie 1 uwagi.</w:t>
      </w:r>
    </w:p>
    <w:p>
      <w:pPr>
        <w:pStyle w:val="style0"/>
        <w:spacing w:after="0" w:before="120"/>
        <w:contextualSpacing w:val="false"/>
        <w:jc w:val="both"/>
      </w:pPr>
      <w:r>
        <w:rPr>
          <w:rFonts w:cs="Tahoma"/>
          <w:b/>
          <w:bCs/>
        </w:rPr>
        <w:t>4. Tereny zielone –</w:t>
      </w:r>
      <w:r>
        <w:rPr>
          <w:rFonts w:cs="Tahoma"/>
        </w:rPr>
        <w:t xml:space="preserve"> powierzchnia ok. 2200 m</w:t>
      </w:r>
      <w:r>
        <w:rPr>
          <w:rFonts w:cs="Tahoma"/>
          <w:vertAlign w:val="superscript"/>
        </w:rPr>
        <w:t>2</w:t>
      </w:r>
      <w:r>
        <w:rPr>
          <w:rFonts w:cs="Tahoma"/>
        </w:rPr>
        <w:t>.</w:t>
      </w:r>
    </w:p>
    <w:p>
      <w:pPr>
        <w:pStyle w:val="style0"/>
        <w:spacing w:after="0" w:before="60"/>
        <w:contextualSpacing w:val="false"/>
        <w:jc w:val="both"/>
      </w:pPr>
      <w:r>
        <w:rPr>
          <w:rFonts w:cs="Tahoma"/>
          <w:b/>
          <w:bCs/>
        </w:rPr>
        <w:t>4.1. Zakres i częstotliwość wykonywanych prac.</w:t>
      </w:r>
    </w:p>
    <w:p>
      <w:pPr>
        <w:pStyle w:val="style0"/>
        <w:numPr>
          <w:ilvl w:val="0"/>
          <w:numId w:val="9"/>
        </w:numPr>
        <w:jc w:val="both"/>
      </w:pPr>
      <w:r>
        <w:rPr>
          <w:rFonts w:cs="Tahoma"/>
        </w:rPr>
        <w:t xml:space="preserve">nawożenie, podlewanie, odchwaszczanie, koszenie trawników – sukcesywnie, </w:t>
        <w:br/>
        <w:t>w optymalnych terminach (nawożenie – co najmniej 2 razy w roku),</w:t>
      </w:r>
    </w:p>
    <w:p>
      <w:pPr>
        <w:pStyle w:val="style0"/>
        <w:numPr>
          <w:ilvl w:val="0"/>
          <w:numId w:val="9"/>
        </w:numPr>
        <w:jc w:val="both"/>
      </w:pPr>
      <w:r>
        <w:rPr>
          <w:rFonts w:cs="Tahoma"/>
        </w:rPr>
        <w:t xml:space="preserve">przycinanie, nawożenie, podlewanie, ściółkowanie drzew i krzewów – sukcesywnie, </w:t>
        <w:br/>
        <w:t>w optymalnych terminach (nawożenie – co najmniej 2 razy w roku),</w:t>
      </w:r>
    </w:p>
    <w:p>
      <w:pPr>
        <w:pStyle w:val="style0"/>
        <w:numPr>
          <w:ilvl w:val="0"/>
          <w:numId w:val="9"/>
        </w:numPr>
        <w:jc w:val="both"/>
      </w:pPr>
      <w:r>
        <w:rPr>
          <w:rFonts w:cs="Tahoma"/>
        </w:rPr>
        <w:t xml:space="preserve">przycinanie, nawożenie, podlewanie pnączy i form żywopłotowych – sukcesywnie, </w:t>
        <w:br/>
        <w:t>w optymalnych terminach (nawożenie – co najmniej 2 razy w roku),</w:t>
      </w:r>
    </w:p>
    <w:p>
      <w:pPr>
        <w:pStyle w:val="style0"/>
        <w:numPr>
          <w:ilvl w:val="0"/>
          <w:numId w:val="9"/>
        </w:numPr>
        <w:jc w:val="both"/>
      </w:pPr>
      <w:r>
        <w:rPr>
          <w:rFonts w:cs="Tahoma"/>
        </w:rPr>
        <w:t>odchwaszczanie i czyszczenie ścieżek spacerowych i miejsc wypoczynkowych – w miarę potrzeb,</w:t>
      </w:r>
    </w:p>
    <w:p>
      <w:pPr>
        <w:pStyle w:val="style0"/>
        <w:numPr>
          <w:ilvl w:val="0"/>
          <w:numId w:val="9"/>
        </w:numPr>
        <w:jc w:val="both"/>
      </w:pPr>
      <w:r>
        <w:rPr>
          <w:rFonts w:cs="Tahoma"/>
        </w:rPr>
        <w:t>usuwanie opadłych liści – sukcesywnie.</w:t>
      </w:r>
    </w:p>
    <w:p>
      <w:pPr>
        <w:pStyle w:val="style0"/>
        <w:jc w:val="both"/>
      </w:pPr>
      <w:r>
        <w:rPr>
          <w:rFonts w:cs="Tahoma"/>
          <w:i/>
          <w:u w:val="single"/>
        </w:rPr>
        <w:t>Uwaga:</w:t>
      </w:r>
    </w:p>
    <w:p>
      <w:pPr>
        <w:pStyle w:val="style0"/>
        <w:jc w:val="both"/>
      </w:pPr>
      <w:r>
        <w:rPr>
          <w:rFonts w:cs="Tahoma"/>
        </w:rPr>
        <w:t xml:space="preserve">O terminach nawożenia należy poinformować wymienionego w </w:t>
      </w:r>
      <w:r>
        <w:rPr/>
        <w:t>§</w:t>
      </w:r>
      <w:r>
        <w:rPr>
          <w:rFonts w:cs="Tahoma"/>
        </w:rPr>
        <w:t xml:space="preserve"> 5 ust. 1 umowy przedstawiciela Zamawiającego.</w:t>
      </w:r>
    </w:p>
    <w:p>
      <w:pPr>
        <w:pStyle w:val="style0"/>
        <w:spacing w:after="0" w:before="60"/>
        <w:contextualSpacing w:val="false"/>
        <w:jc w:val="both"/>
      </w:pPr>
      <w:r>
        <w:rPr>
          <w:rFonts w:cs="Tahoma"/>
          <w:b/>
          <w:bCs/>
        </w:rPr>
        <w:t>4.2. Odpady z terenów zielonych.</w:t>
      </w:r>
    </w:p>
    <w:p>
      <w:pPr>
        <w:pStyle w:val="style0"/>
        <w:jc w:val="both"/>
      </w:pPr>
      <w:r>
        <w:rPr>
          <w:rFonts w:cs="Tahoma"/>
        </w:rPr>
        <w:t>Odpady powstałe przy pielęgnacji terenów zielonych (trawa, liście, gałęzie) należy sukcesywnie wywozić w miejsce wyznaczone przez Urząd Miasta Olsztyn bądź inne, w których składowanie tego rodzaju odpadów jest dopuszczone przez odpowiednie władze.</w:t>
      </w:r>
    </w:p>
    <w:p>
      <w:pPr>
        <w:pStyle w:val="style0"/>
      </w:pPr>
      <w:r>
        <w:rPr>
          <w:rFonts w:cs="Tahoma"/>
        </w:rPr>
      </w:r>
    </w:p>
    <w:p>
      <w:pPr>
        <w:pStyle w:val="style0"/>
      </w:pPr>
      <w:r>
        <w:rPr>
          <w:rFonts w:cs="Tahoma"/>
        </w:rPr>
      </w:r>
    </w:p>
    <w:p>
      <w:pPr>
        <w:pStyle w:val="style0"/>
      </w:pPr>
      <w:r>
        <w:rPr>
          <w:rFonts w:cs="Tahoma"/>
        </w:rPr>
      </w:r>
    </w:p>
    <w:p>
      <w:pPr>
        <w:pStyle w:val="style0"/>
      </w:pPr>
      <w:r>
        <w:rPr>
          <w:rFonts w:cs="Tahoma"/>
          <w:b/>
          <w:bCs/>
        </w:rPr>
        <w:t>ZAMAWIAJĄCY</w:t>
        <w:tab/>
        <w:tab/>
        <w:tab/>
        <w:tab/>
        <w:tab/>
        <w:tab/>
        <w:tab/>
        <w:tab/>
        <w:tab/>
        <w:t>WYKONAWCA</w:t>
      </w:r>
    </w:p>
    <w:sectPr>
      <w:footerReference r:id="rId16" w:type="default"/>
      <w:footnotePr>
        <w:numFmt w:val="decimal"/>
      </w:footnotePr>
      <w:type w:val="nextPage"/>
      <w:pgSz w:h="16838" w:w="11906"/>
      <w:pgMar w:bottom="1648" w:footer="1134" w:gutter="0" w:header="0" w:left="1134" w:right="1134"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Segoe UI">
    <w:charset w:val="ee"/>
    <w:family w:val="roman"/>
    <w:pitch w:val="variable"/>
  </w:font>
  <w:font w:name="Trebuchet MS">
    <w:charset w:val="ee"/>
    <w:family w:val="roman"/>
    <w:pitch w:val="variable"/>
  </w:font>
  <w:font w:name="Arial">
    <w:charset w:val="ee"/>
    <w:family w:val="swiss"/>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w:t>
    </w:r>
    <w: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24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9</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10</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11</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12</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13</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14</w:t>
    </w:r>
    <w: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17</w:t>
    </w:r>
    <w: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pPr>
    <w:r>
      <w:rPr>
        <w:rFonts w:cs="Tahoma"/>
        <w:i/>
        <w:iCs/>
        <w:sz w:val="20"/>
        <w:szCs w:val="20"/>
      </w:rPr>
      <w:t>XXIV-38/01/16   -   specyfikacja  istotnych  warunków  zamówienia   -   Radio Olsztyn SA</w:t>
      <w:tab/>
    </w:r>
    <w:r>
      <w:rPr>
        <w:rFonts w:cs="Tahoma"/>
        <w:i/>
        <w:iCs/>
        <w:sz w:val="20"/>
        <w:szCs w:val="20"/>
      </w:rPr>
      <w:fldChar w:fldCharType="begin"/>
    </w:r>
    <w:r>
      <w:instrText> PAGE </w:instrText>
    </w:r>
    <w:r>
      <w:fldChar w:fldCharType="separate"/>
    </w:r>
    <w:r>
      <w:t>22</w:t>
    </w:r>
    <w:r>
      <w:fldChar w:fldCharType="end"/>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2"/>
      </w:pPr>
      <w:r>
        <w:rPr>
          <w:rStyle w:val="style22"/>
          <w:sz w:val="16"/>
          <w:szCs w:val="16"/>
        </w:rPr>
        <w:footnoteRef/>
        <w:tab/>
        <w:t>*</w:t>
      </w:r>
      <w:r>
        <w:rPr>
          <w:sz w:val="16"/>
          <w:szCs w:val="16"/>
        </w:rPr>
        <w:t xml:space="preserve"> </w:t>
      </w:r>
      <w:r>
        <w:rPr>
          <w:sz w:val="16"/>
          <w:szCs w:val="16"/>
          <w:lang w:val="pl-PL"/>
        </w:rPr>
        <w:t>§ 2 występuje w dwóch opcjach, w zależności od treści złożonej oferty</w:t>
      </w:r>
    </w:p>
  </w:footnote>
  <w:footnote w:id="3">
    <w:p>
      <w:pPr>
        <w:pStyle w:val="style42"/>
      </w:pPr>
      <w:r>
        <w:rPr>
          <w:rStyle w:val="style22"/>
        </w:rPr>
        <w:footnoteRef/>
        <w:tab/>
        <w:t>*</w:t>
      </w:r>
      <w:r>
        <w:rPr/>
        <w:t xml:space="preserve"> </w:t>
      </w:r>
      <w:r>
        <w:rPr>
          <w:sz w:val="16"/>
          <w:szCs w:val="16"/>
          <w:lang w:val="pl-PL"/>
        </w:rPr>
        <w:t>§ 2 występuje w dwóch opcjach, w zależności od treści złożonej oferty</w:t>
      </w:r>
    </w:p>
  </w:footnote>
</w:footnotes>
</file>

<file path=word/numbering.xml><?xml version="1.0" encoding="utf-8"?>
<w:numbering xmlns:w="http://schemas.openxmlformats.org/wordprocessingml/2006/main">
  <w:abstractNum w:abstractNumId="1">
    <w:lvl w:ilvl="0">
      <w:start w:val="1"/>
      <w:numFmt w:val="bullet"/>
      <w:lvlText w:val=""/>
      <w:lvlJc w:val="left"/>
      <w:pPr>
        <w:tabs>
          <w:tab w:pos="360" w:val="num"/>
        </w:tabs>
        <w:ind w:hanging="360" w:left="360"/>
      </w:pPr>
      <w:rPr>
        <w:rFonts w:ascii="Symbol" w:cs="Symbol" w:hAnsi="Symbol" w:hint="default"/>
        <w:sz w:val="18"/>
        <w:szCs w:val="18"/>
      </w:rPr>
    </w:lvl>
    <w:lvl w:ilvl="1">
      <w:start w:val="1"/>
      <w:numFmt w:val="bullet"/>
      <w:lvlText w:val=""/>
      <w:lvlJc w:val="left"/>
      <w:pPr>
        <w:tabs>
          <w:tab w:pos="720" w:val="num"/>
        </w:tabs>
        <w:ind w:hanging="360" w:left="720"/>
      </w:pPr>
      <w:rPr>
        <w:rFonts w:ascii="Symbol" w:cs="Symbol" w:hAnsi="Symbol" w:hint="default"/>
        <w:sz w:val="18"/>
        <w:szCs w:val="18"/>
      </w:rPr>
    </w:lvl>
    <w:lvl w:ilvl="2">
      <w:start w:val="1"/>
      <w:numFmt w:val="bullet"/>
      <w:lvlText w:val=""/>
      <w:lvlJc w:val="left"/>
      <w:pPr>
        <w:tabs>
          <w:tab w:pos="1080" w:val="num"/>
        </w:tabs>
        <w:ind w:hanging="360" w:left="1080"/>
      </w:pPr>
      <w:rPr>
        <w:rFonts w:ascii="Symbol" w:cs="Symbol" w:hAnsi="Symbol" w:hint="default"/>
        <w:sz w:val="18"/>
        <w:szCs w:val="18"/>
      </w:rPr>
    </w:lvl>
    <w:lvl w:ilvl="3">
      <w:start w:val="1"/>
      <w:numFmt w:val="bullet"/>
      <w:lvlText w:val=""/>
      <w:lvlJc w:val="left"/>
      <w:pPr>
        <w:tabs>
          <w:tab w:pos="1440" w:val="num"/>
        </w:tabs>
        <w:ind w:hanging="360" w:left="1440"/>
      </w:pPr>
      <w:rPr>
        <w:rFonts w:ascii="Symbol" w:cs="Symbol" w:hAnsi="Symbol" w:hint="default"/>
        <w:sz w:val="18"/>
        <w:szCs w:val="18"/>
      </w:rPr>
    </w:lvl>
    <w:lvl w:ilvl="4">
      <w:start w:val="1"/>
      <w:numFmt w:val="bullet"/>
      <w:lvlText w:val=""/>
      <w:lvlJc w:val="left"/>
      <w:pPr>
        <w:tabs>
          <w:tab w:pos="1800" w:val="num"/>
        </w:tabs>
        <w:ind w:hanging="360" w:left="1800"/>
      </w:pPr>
      <w:rPr>
        <w:rFonts w:ascii="Symbol" w:cs="Symbol" w:hAnsi="Symbol" w:hint="default"/>
        <w:sz w:val="18"/>
        <w:szCs w:val="18"/>
      </w:rPr>
    </w:lvl>
    <w:lvl w:ilvl="5">
      <w:start w:val="1"/>
      <w:numFmt w:val="bullet"/>
      <w:lvlText w:val=""/>
      <w:lvlJc w:val="left"/>
      <w:pPr>
        <w:tabs>
          <w:tab w:pos="2160" w:val="num"/>
        </w:tabs>
        <w:ind w:hanging="360" w:left="2160"/>
      </w:pPr>
      <w:rPr>
        <w:rFonts w:ascii="Symbol" w:cs="Symbol" w:hAnsi="Symbol" w:hint="default"/>
        <w:sz w:val="18"/>
        <w:szCs w:val="18"/>
      </w:rPr>
    </w:lvl>
    <w:lvl w:ilvl="6">
      <w:start w:val="1"/>
      <w:numFmt w:val="bullet"/>
      <w:lvlText w:val=""/>
      <w:lvlJc w:val="left"/>
      <w:pPr>
        <w:tabs>
          <w:tab w:pos="2520" w:val="num"/>
        </w:tabs>
        <w:ind w:hanging="360" w:left="2520"/>
      </w:pPr>
      <w:rPr>
        <w:rFonts w:ascii="Symbol" w:cs="Symbol" w:hAnsi="Symbol" w:hint="default"/>
        <w:sz w:val="18"/>
        <w:szCs w:val="18"/>
      </w:rPr>
    </w:lvl>
    <w:lvl w:ilvl="7">
      <w:start w:val="1"/>
      <w:numFmt w:val="bullet"/>
      <w:lvlText w:val=""/>
      <w:lvlJc w:val="left"/>
      <w:pPr>
        <w:tabs>
          <w:tab w:pos="2880" w:val="num"/>
        </w:tabs>
        <w:ind w:hanging="360" w:left="2880"/>
      </w:pPr>
      <w:rPr>
        <w:rFonts w:ascii="Symbol" w:cs="Symbol" w:hAnsi="Symbol" w:hint="default"/>
        <w:sz w:val="18"/>
        <w:szCs w:val="18"/>
      </w:rPr>
    </w:lvl>
    <w:lvl w:ilvl="8">
      <w:start w:val="1"/>
      <w:numFmt w:val="bullet"/>
      <w:lvlText w:val=""/>
      <w:lvlJc w:val="left"/>
      <w:pPr>
        <w:tabs>
          <w:tab w:pos="3240" w:val="num"/>
        </w:tabs>
        <w:ind w:hanging="360" w:left="3240"/>
      </w:pPr>
      <w:rPr>
        <w:rFonts w:ascii="Symbol" w:cs="Symbol" w:hAnsi="Symbol" w:hint="default"/>
        <w:sz w:val="18"/>
        <w:szCs w:val="18"/>
      </w:rPr>
    </w:lvl>
  </w:abstractNum>
  <w:abstractNum w:abstractNumId="2">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Symbol" w:cs="Symbol" w:hAnsi="Symbol" w:hint="default"/>
        <w:sz w:val="18"/>
        <w:szCs w:val="18"/>
      </w:rPr>
    </w:lvl>
    <w:lvl w:ilvl="2">
      <w:start w:val="1"/>
      <w:numFmt w:val="bullet"/>
      <w:lvlText w:val=""/>
      <w:lvlJc w:val="left"/>
      <w:pPr>
        <w:tabs>
          <w:tab w:pos="1440" w:val="num"/>
        </w:tabs>
        <w:ind w:hanging="360" w:left="1440"/>
      </w:pPr>
      <w:rPr>
        <w:rFonts w:ascii="Symbol" w:cs="Symbol" w:hAnsi="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Symbol" w:cs="Symbol" w:hAnsi="Symbol" w:hint="default"/>
        <w:sz w:val="18"/>
        <w:szCs w:val="18"/>
      </w:rPr>
    </w:lvl>
    <w:lvl w:ilvl="5">
      <w:start w:val="1"/>
      <w:numFmt w:val="bullet"/>
      <w:lvlText w:val=""/>
      <w:lvlJc w:val="left"/>
      <w:pPr>
        <w:tabs>
          <w:tab w:pos="2520" w:val="num"/>
        </w:tabs>
        <w:ind w:hanging="360" w:left="2520"/>
      </w:pPr>
      <w:rPr>
        <w:rFonts w:ascii="Symbol" w:cs="Symbol" w:hAnsi="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Symbol" w:cs="Symbol" w:hAnsi="Symbol" w:hint="default"/>
        <w:sz w:val="18"/>
        <w:szCs w:val="18"/>
      </w:rPr>
    </w:lvl>
    <w:lvl w:ilvl="8">
      <w:start w:val="1"/>
      <w:numFmt w:val="bullet"/>
      <w:lvlText w:val=""/>
      <w:lvlJc w:val="left"/>
      <w:pPr>
        <w:tabs>
          <w:tab w:pos="3600" w:val="num"/>
        </w:tabs>
        <w:ind w:hanging="360" w:left="3600"/>
      </w:pPr>
      <w:rPr>
        <w:rFonts w:ascii="Symbol" w:cs="Symbol" w:hAnsi="Symbol" w:hint="default"/>
        <w:sz w:val="18"/>
        <w:szCs w:val="18"/>
      </w:r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4">
    <w:lvl w:ilvl="0">
      <w:start w:val="1"/>
      <w:numFmt w:val="decimal"/>
      <w:lvlText w:val="%1."/>
      <w:lvlJc w:val="left"/>
      <w:pPr>
        <w:tabs>
          <w:tab w:pos="360" w:val="num"/>
        </w:tabs>
        <w:ind w:hanging="360" w:left="360"/>
      </w:pPr>
    </w:lvl>
    <w:lvl w:ilvl="1">
      <w:start w:val="2"/>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1080" w:left="1080"/>
      </w:pPr>
    </w:lvl>
    <w:lvl w:ilvl="5">
      <w:start w:val="1"/>
      <w:numFmt w:val="decimal"/>
      <w:lvlText w:val="%1.%2.%3.%4.%5.%6."/>
      <w:lvlJc w:val="left"/>
      <w:pPr>
        <w:ind w:hanging="1080" w:left="1080"/>
      </w:pPr>
    </w:lvl>
    <w:lvl w:ilvl="6">
      <w:start w:val="1"/>
      <w:numFmt w:val="decimal"/>
      <w:lvlText w:val="%1.%2.%3.%4.%5.%6.%7."/>
      <w:lvlJc w:val="left"/>
      <w:pPr>
        <w:ind w:hanging="1440" w:left="1440"/>
      </w:pPr>
    </w:lvl>
    <w:lvl w:ilvl="7">
      <w:start w:val="1"/>
      <w:numFmt w:val="decimal"/>
      <w:lvlText w:val="%1.%2.%3.%4.%5.%6.%7.%8."/>
      <w:lvlJc w:val="left"/>
      <w:pPr>
        <w:ind w:hanging="1440" w:left="1440"/>
      </w:pPr>
    </w:lvl>
    <w:lvl w:ilvl="8">
      <w:start w:val="1"/>
      <w:numFmt w:val="decimal"/>
      <w:lvlText w:val="%1.%2.%3.%4.%5.%6.%7.%8.%9."/>
      <w:lvlJc w:val="left"/>
      <w:pPr>
        <w:ind w:hanging="1800" w:left="1800"/>
      </w:pPr>
    </w:lvl>
  </w:abstractNum>
  <w:abstractNum w:abstractNumId="5">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Symbol" w:cs="Symbol" w:hAnsi="Symbol" w:hint="default"/>
        <w:sz w:val="18"/>
        <w:szCs w:val="18"/>
      </w:rPr>
    </w:lvl>
    <w:lvl w:ilvl="2">
      <w:start w:val="1"/>
      <w:numFmt w:val="bullet"/>
      <w:lvlText w:val=""/>
      <w:lvlJc w:val="left"/>
      <w:pPr>
        <w:tabs>
          <w:tab w:pos="1440" w:val="num"/>
        </w:tabs>
        <w:ind w:hanging="360" w:left="1440"/>
      </w:pPr>
      <w:rPr>
        <w:rFonts w:ascii="Symbol" w:cs="Symbol" w:hAnsi="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Symbol" w:cs="Symbol" w:hAnsi="Symbol" w:hint="default"/>
        <w:sz w:val="18"/>
        <w:szCs w:val="18"/>
      </w:rPr>
    </w:lvl>
    <w:lvl w:ilvl="5">
      <w:start w:val="1"/>
      <w:numFmt w:val="bullet"/>
      <w:lvlText w:val=""/>
      <w:lvlJc w:val="left"/>
      <w:pPr>
        <w:tabs>
          <w:tab w:pos="2520" w:val="num"/>
        </w:tabs>
        <w:ind w:hanging="360" w:left="2520"/>
      </w:pPr>
      <w:rPr>
        <w:rFonts w:ascii="Symbol" w:cs="Symbol" w:hAnsi="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Symbol" w:cs="Symbol" w:hAnsi="Symbol" w:hint="default"/>
        <w:sz w:val="18"/>
        <w:szCs w:val="18"/>
      </w:rPr>
    </w:lvl>
    <w:lvl w:ilvl="8">
      <w:start w:val="1"/>
      <w:numFmt w:val="bullet"/>
      <w:lvlText w:val=""/>
      <w:lvlJc w:val="left"/>
      <w:pPr>
        <w:tabs>
          <w:tab w:pos="3600" w:val="num"/>
        </w:tabs>
        <w:ind w:hanging="360" w:left="3600"/>
      </w:pPr>
      <w:rPr>
        <w:rFonts w:ascii="Symbol" w:cs="Symbol" w:hAnsi="Symbol" w:hint="default"/>
        <w:sz w:val="18"/>
        <w:szCs w:val="18"/>
      </w:rPr>
    </w:lvl>
  </w:abstractNum>
  <w:abstractNum w:abstractNumId="7">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Symbol" w:cs="Symbol" w:hAnsi="Symbol" w:hint="default"/>
        <w:sz w:val="18"/>
        <w:szCs w:val="18"/>
      </w:rPr>
    </w:lvl>
    <w:lvl w:ilvl="2">
      <w:start w:val="1"/>
      <w:numFmt w:val="bullet"/>
      <w:lvlText w:val=""/>
      <w:lvlJc w:val="left"/>
      <w:pPr>
        <w:tabs>
          <w:tab w:pos="1440" w:val="num"/>
        </w:tabs>
        <w:ind w:hanging="360" w:left="1440"/>
      </w:pPr>
      <w:rPr>
        <w:rFonts w:ascii="Symbol" w:cs="Symbol" w:hAnsi="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Symbol" w:cs="Symbol" w:hAnsi="Symbol" w:hint="default"/>
        <w:sz w:val="18"/>
        <w:szCs w:val="18"/>
      </w:rPr>
    </w:lvl>
    <w:lvl w:ilvl="5">
      <w:start w:val="1"/>
      <w:numFmt w:val="bullet"/>
      <w:lvlText w:val=""/>
      <w:lvlJc w:val="left"/>
      <w:pPr>
        <w:tabs>
          <w:tab w:pos="2520" w:val="num"/>
        </w:tabs>
        <w:ind w:hanging="360" w:left="2520"/>
      </w:pPr>
      <w:rPr>
        <w:rFonts w:ascii="Symbol" w:cs="Symbol" w:hAnsi="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Symbol" w:cs="Symbol" w:hAnsi="Symbol" w:hint="default"/>
        <w:sz w:val="18"/>
        <w:szCs w:val="18"/>
      </w:rPr>
    </w:lvl>
    <w:lvl w:ilvl="8">
      <w:start w:val="1"/>
      <w:numFmt w:val="bullet"/>
      <w:lvlText w:val=""/>
      <w:lvlJc w:val="left"/>
      <w:pPr>
        <w:tabs>
          <w:tab w:pos="3600" w:val="num"/>
        </w:tabs>
        <w:ind w:hanging="360" w:left="3600"/>
      </w:pPr>
      <w:rPr>
        <w:rFonts w:ascii="Symbol" w:cs="Symbol" w:hAnsi="Symbol" w:hint="default"/>
        <w:sz w:val="18"/>
        <w:szCs w:val="18"/>
      </w:rPr>
    </w:lvl>
  </w:abstractNum>
  <w:abstractNum w:abstractNumId="8">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Symbol" w:cs="Symbol" w:hAnsi="Symbol" w:hint="default"/>
        <w:sz w:val="18"/>
        <w:szCs w:val="18"/>
      </w:rPr>
    </w:lvl>
    <w:lvl w:ilvl="2">
      <w:start w:val="1"/>
      <w:numFmt w:val="bullet"/>
      <w:lvlText w:val=""/>
      <w:lvlJc w:val="left"/>
      <w:pPr>
        <w:tabs>
          <w:tab w:pos="1440" w:val="num"/>
        </w:tabs>
        <w:ind w:hanging="360" w:left="1440"/>
      </w:pPr>
      <w:rPr>
        <w:rFonts w:ascii="Symbol" w:cs="Symbol" w:hAnsi="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Symbol" w:cs="Symbol" w:hAnsi="Symbol" w:hint="default"/>
        <w:sz w:val="18"/>
        <w:szCs w:val="18"/>
      </w:rPr>
    </w:lvl>
    <w:lvl w:ilvl="5">
      <w:start w:val="1"/>
      <w:numFmt w:val="bullet"/>
      <w:lvlText w:val=""/>
      <w:lvlJc w:val="left"/>
      <w:pPr>
        <w:tabs>
          <w:tab w:pos="2520" w:val="num"/>
        </w:tabs>
        <w:ind w:hanging="360" w:left="2520"/>
      </w:pPr>
      <w:rPr>
        <w:rFonts w:ascii="Symbol" w:cs="Symbol" w:hAnsi="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Symbol" w:cs="Symbol" w:hAnsi="Symbol" w:hint="default"/>
        <w:sz w:val="18"/>
        <w:szCs w:val="18"/>
      </w:rPr>
    </w:lvl>
    <w:lvl w:ilvl="8">
      <w:start w:val="1"/>
      <w:numFmt w:val="bullet"/>
      <w:lvlText w:val=""/>
      <w:lvlJc w:val="left"/>
      <w:pPr>
        <w:tabs>
          <w:tab w:pos="3600" w:val="num"/>
        </w:tabs>
        <w:ind w:hanging="360" w:left="3600"/>
      </w:pPr>
      <w:rPr>
        <w:rFonts w:ascii="Symbol" w:cs="Symbol" w:hAnsi="Symbol" w:hint="default"/>
        <w:sz w:val="18"/>
        <w:szCs w:val="18"/>
      </w:rPr>
    </w:lvl>
  </w:abstractNum>
  <w:abstractNum w:abstractNumId="9">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Symbol" w:cs="Symbol" w:hAnsi="Symbol" w:hint="default"/>
        <w:sz w:val="18"/>
        <w:szCs w:val="18"/>
      </w:rPr>
    </w:lvl>
    <w:lvl w:ilvl="2">
      <w:start w:val="1"/>
      <w:numFmt w:val="bullet"/>
      <w:lvlText w:val=""/>
      <w:lvlJc w:val="left"/>
      <w:pPr>
        <w:tabs>
          <w:tab w:pos="1440" w:val="num"/>
        </w:tabs>
        <w:ind w:hanging="360" w:left="1440"/>
      </w:pPr>
      <w:rPr>
        <w:rFonts w:ascii="Symbol" w:cs="Symbol" w:hAnsi="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Symbol" w:cs="Symbol" w:hAnsi="Symbol" w:hint="default"/>
        <w:sz w:val="18"/>
        <w:szCs w:val="18"/>
      </w:rPr>
    </w:lvl>
    <w:lvl w:ilvl="5">
      <w:start w:val="1"/>
      <w:numFmt w:val="bullet"/>
      <w:lvlText w:val=""/>
      <w:lvlJc w:val="left"/>
      <w:pPr>
        <w:tabs>
          <w:tab w:pos="2520" w:val="num"/>
        </w:tabs>
        <w:ind w:hanging="360" w:left="2520"/>
      </w:pPr>
      <w:rPr>
        <w:rFonts w:ascii="Symbol" w:cs="Symbol" w:hAnsi="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Symbol" w:cs="Symbol" w:hAnsi="Symbol" w:hint="default"/>
        <w:sz w:val="18"/>
        <w:szCs w:val="18"/>
      </w:rPr>
    </w:lvl>
    <w:lvl w:ilvl="8">
      <w:start w:val="1"/>
      <w:numFmt w:val="bullet"/>
      <w:lvlText w:val=""/>
      <w:lvlJc w:val="left"/>
      <w:pPr>
        <w:tabs>
          <w:tab w:pos="3600" w:val="num"/>
        </w:tabs>
        <w:ind w:hanging="360" w:left="3600"/>
      </w:pPr>
      <w:rPr>
        <w:rFonts w:ascii="Symbol" w:cs="Symbol" w:hAnsi="Symbol" w:hint="default"/>
        <w:sz w:val="18"/>
        <w:szCs w:val="18"/>
      </w:rPr>
    </w:lvl>
  </w:abstractNum>
  <w:abstractNum w:abstractNumId="10">
    <w:lvl w:ilvl="0">
      <w:start w:val="1"/>
      <w:numFmt w:val="bullet"/>
      <w:lvlText w:val=""/>
      <w:lvlJc w:val="left"/>
      <w:pPr>
        <w:tabs>
          <w:tab w:pos="720" w:val="num"/>
        </w:tabs>
        <w:ind w:hanging="360" w:left="720"/>
      </w:pPr>
      <w:rPr>
        <w:rFonts w:ascii="Symbol" w:cs="Symbol" w:hAnsi="Symbol" w:hint="default"/>
        <w:sz w:val="18"/>
        <w:szCs w:val="18"/>
      </w:rPr>
    </w:lvl>
    <w:lvl w:ilvl="1">
      <w:start w:val="1"/>
      <w:numFmt w:val="bullet"/>
      <w:lvlText w:val=""/>
      <w:lvlJc w:val="left"/>
      <w:pPr>
        <w:tabs>
          <w:tab w:pos="1080" w:val="num"/>
        </w:tabs>
        <w:ind w:hanging="360" w:left="1080"/>
      </w:pPr>
      <w:rPr>
        <w:rFonts w:ascii="Symbol" w:cs="Symbol" w:hAnsi="Symbol" w:hint="default"/>
        <w:sz w:val="18"/>
        <w:szCs w:val="18"/>
      </w:rPr>
    </w:lvl>
    <w:lvl w:ilvl="2">
      <w:start w:val="1"/>
      <w:numFmt w:val="bullet"/>
      <w:lvlText w:val=""/>
      <w:lvlJc w:val="left"/>
      <w:pPr>
        <w:tabs>
          <w:tab w:pos="1440" w:val="num"/>
        </w:tabs>
        <w:ind w:hanging="360" w:left="1440"/>
      </w:pPr>
      <w:rPr>
        <w:rFonts w:ascii="Symbol" w:cs="Symbol" w:hAnsi="Symbol" w:hint="default"/>
        <w:sz w:val="18"/>
        <w:szCs w:val="18"/>
      </w:rPr>
    </w:lvl>
    <w:lvl w:ilvl="3">
      <w:start w:val="1"/>
      <w:numFmt w:val="bullet"/>
      <w:lvlText w:val=""/>
      <w:lvlJc w:val="left"/>
      <w:pPr>
        <w:tabs>
          <w:tab w:pos="1800" w:val="num"/>
        </w:tabs>
        <w:ind w:hanging="360" w:left="1800"/>
      </w:pPr>
      <w:rPr>
        <w:rFonts w:ascii="Symbol" w:cs="Symbol" w:hAnsi="Symbol" w:hint="default"/>
        <w:sz w:val="18"/>
        <w:szCs w:val="18"/>
      </w:rPr>
    </w:lvl>
    <w:lvl w:ilvl="4">
      <w:start w:val="1"/>
      <w:numFmt w:val="bullet"/>
      <w:lvlText w:val=""/>
      <w:lvlJc w:val="left"/>
      <w:pPr>
        <w:tabs>
          <w:tab w:pos="2160" w:val="num"/>
        </w:tabs>
        <w:ind w:hanging="360" w:left="2160"/>
      </w:pPr>
      <w:rPr>
        <w:rFonts w:ascii="Symbol" w:cs="Symbol" w:hAnsi="Symbol" w:hint="default"/>
        <w:sz w:val="18"/>
        <w:szCs w:val="18"/>
      </w:rPr>
    </w:lvl>
    <w:lvl w:ilvl="5">
      <w:start w:val="1"/>
      <w:numFmt w:val="bullet"/>
      <w:lvlText w:val=""/>
      <w:lvlJc w:val="left"/>
      <w:pPr>
        <w:tabs>
          <w:tab w:pos="2520" w:val="num"/>
        </w:tabs>
        <w:ind w:hanging="360" w:left="2520"/>
      </w:pPr>
      <w:rPr>
        <w:rFonts w:ascii="Symbol" w:cs="Symbol" w:hAnsi="Symbol" w:hint="default"/>
        <w:sz w:val="18"/>
        <w:szCs w:val="18"/>
      </w:rPr>
    </w:lvl>
    <w:lvl w:ilvl="6">
      <w:start w:val="1"/>
      <w:numFmt w:val="bullet"/>
      <w:lvlText w:val=""/>
      <w:lvlJc w:val="left"/>
      <w:pPr>
        <w:tabs>
          <w:tab w:pos="2880" w:val="num"/>
        </w:tabs>
        <w:ind w:hanging="360" w:left="2880"/>
      </w:pPr>
      <w:rPr>
        <w:rFonts w:ascii="Symbol" w:cs="Symbol" w:hAnsi="Symbol" w:hint="default"/>
        <w:sz w:val="18"/>
        <w:szCs w:val="18"/>
      </w:rPr>
    </w:lvl>
    <w:lvl w:ilvl="7">
      <w:start w:val="1"/>
      <w:numFmt w:val="bullet"/>
      <w:lvlText w:val=""/>
      <w:lvlJc w:val="left"/>
      <w:pPr>
        <w:tabs>
          <w:tab w:pos="3240" w:val="num"/>
        </w:tabs>
        <w:ind w:hanging="360" w:left="3240"/>
      </w:pPr>
      <w:rPr>
        <w:rFonts w:ascii="Symbol" w:cs="Symbol" w:hAnsi="Symbol" w:hint="default"/>
        <w:sz w:val="18"/>
        <w:szCs w:val="18"/>
      </w:rPr>
    </w:lvl>
    <w:lvl w:ilvl="8">
      <w:start w:val="1"/>
      <w:numFmt w:val="bullet"/>
      <w:lvlText w:val=""/>
      <w:lvlJc w:val="left"/>
      <w:pPr>
        <w:tabs>
          <w:tab w:pos="3600" w:val="num"/>
        </w:tabs>
        <w:ind w:hanging="360" w:left="3600"/>
      </w:pPr>
      <w:rPr>
        <w:rFonts w:ascii="Symbol" w:cs="Symbol" w:hAnsi="Symbol" w:hint="default"/>
        <w:sz w:val="18"/>
        <w:szCs w:val="18"/>
      </w:rPr>
    </w:lvl>
  </w:abstractNum>
  <w:abstractNum w:abstractNumId="1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2">
    <w:lvl w:ilvl="0">
      <w:start w:val="1"/>
      <w:numFmt w:val="decimal"/>
      <w:lvlText w:val="%1."/>
      <w:lvlJc w:val="left"/>
      <w:pPr>
        <w:ind w:hanging="360" w:left="360"/>
      </w:pPr>
      <w:rPr>
        <w:b/>
      </w:rPr>
    </w:lvl>
    <w:lvl w:ilvl="1">
      <w:start w:val="1"/>
      <w:numFmt w:val="decimal"/>
      <w:lvlText w:val="%1.%2."/>
      <w:lvlJc w:val="left"/>
      <w:pPr>
        <w:ind w:hanging="360" w:left="360"/>
      </w:pPr>
      <w:rPr>
        <w:b/>
      </w:rPr>
    </w:lvl>
    <w:lvl w:ilvl="2">
      <w:start w:val="1"/>
      <w:numFmt w:val="decimal"/>
      <w:lvlText w:val="%1.%2.%3."/>
      <w:lvlJc w:val="left"/>
      <w:pPr>
        <w:ind w:hanging="720" w:left="720"/>
      </w:pPr>
      <w:rPr>
        <w:b/>
      </w:rPr>
    </w:lvl>
    <w:lvl w:ilvl="3">
      <w:start w:val="1"/>
      <w:numFmt w:val="decimal"/>
      <w:lvlText w:val="%1.%2.%3.%4."/>
      <w:lvlJc w:val="left"/>
      <w:pPr>
        <w:ind w:hanging="720" w:left="720"/>
      </w:pPr>
      <w:rPr>
        <w:b/>
      </w:rPr>
    </w:lvl>
    <w:lvl w:ilvl="4">
      <w:start w:val="1"/>
      <w:numFmt w:val="decimal"/>
      <w:lvlText w:val="%1.%2.%3.%4.%5."/>
      <w:lvlJc w:val="left"/>
      <w:pPr>
        <w:ind w:hanging="1080" w:left="1080"/>
      </w:pPr>
      <w:rPr>
        <w:b/>
      </w:rPr>
    </w:lvl>
    <w:lvl w:ilvl="5">
      <w:start w:val="1"/>
      <w:numFmt w:val="decimal"/>
      <w:lvlText w:val="%1.%2.%3.%4.%5.%6."/>
      <w:lvlJc w:val="left"/>
      <w:pPr>
        <w:ind w:hanging="1080" w:left="1080"/>
      </w:pPr>
      <w:rPr>
        <w:b/>
      </w:rPr>
    </w:lvl>
    <w:lvl w:ilvl="6">
      <w:start w:val="1"/>
      <w:numFmt w:val="decimal"/>
      <w:lvlText w:val="%1.%2.%3.%4.%5.%6.%7."/>
      <w:lvlJc w:val="left"/>
      <w:pPr>
        <w:ind w:hanging="1440" w:left="1440"/>
      </w:pPr>
      <w:rPr>
        <w:b/>
      </w:rPr>
    </w:lvl>
    <w:lvl w:ilvl="7">
      <w:start w:val="1"/>
      <w:numFmt w:val="decimal"/>
      <w:lvlText w:val="%1.%2.%3.%4.%5.%6.%7.%8."/>
      <w:lvlJc w:val="left"/>
      <w:pPr>
        <w:ind w:hanging="1440" w:left="1440"/>
      </w:pPr>
      <w:rPr>
        <w:b/>
      </w:rPr>
    </w:lvl>
    <w:lvl w:ilvl="8">
      <w:start w:val="1"/>
      <w:numFmt w:val="decimal"/>
      <w:lvlText w:val="%1.%2.%3.%4.%5.%6.%7.%8.%9."/>
      <w:lvlJc w:val="left"/>
      <w:pPr>
        <w:ind w:hanging="1800" w:left="1800"/>
      </w:pPr>
      <w:rPr>
        <w:b/>
      </w:rPr>
    </w:lvl>
  </w:abstractNum>
  <w:abstractNum w:abstractNumId="1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5">
    <w:lvl w:ilvl="0">
      <w:start w:val="1"/>
      <w:numFmt w:val="decimal"/>
      <w:lvlText w:val="%1."/>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1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9">
    <w:lvl w:ilvl="0">
      <w:start w:val="1"/>
      <w:numFmt w:val="decimal"/>
      <w:lvlText w:val="%1."/>
      <w:lvlJc w:val="left"/>
      <w:pPr>
        <w:ind w:hanging="360" w:left="247"/>
      </w:pPr>
    </w:lvl>
    <w:lvl w:ilvl="1">
      <w:start w:val="1"/>
      <w:numFmt w:val="lowerLetter"/>
      <w:lvlText w:val="%2."/>
      <w:lvlJc w:val="left"/>
      <w:pPr>
        <w:ind w:hanging="360" w:left="967"/>
      </w:pPr>
    </w:lvl>
    <w:lvl w:ilvl="2">
      <w:start w:val="1"/>
      <w:numFmt w:val="lowerRoman"/>
      <w:lvlText w:val="%3."/>
      <w:lvlJc w:val="right"/>
      <w:pPr>
        <w:ind w:hanging="180" w:left="1687"/>
      </w:pPr>
    </w:lvl>
    <w:lvl w:ilvl="3">
      <w:start w:val="1"/>
      <w:numFmt w:val="decimal"/>
      <w:lvlText w:val="%4."/>
      <w:lvlJc w:val="left"/>
      <w:pPr>
        <w:ind w:hanging="360" w:left="2407"/>
      </w:pPr>
    </w:lvl>
    <w:lvl w:ilvl="4">
      <w:start w:val="1"/>
      <w:numFmt w:val="lowerLetter"/>
      <w:lvlText w:val="%5."/>
      <w:lvlJc w:val="left"/>
      <w:pPr>
        <w:ind w:hanging="360" w:left="3127"/>
      </w:pPr>
    </w:lvl>
    <w:lvl w:ilvl="5">
      <w:start w:val="1"/>
      <w:numFmt w:val="lowerRoman"/>
      <w:lvlText w:val="%6."/>
      <w:lvlJc w:val="right"/>
      <w:pPr>
        <w:ind w:hanging="180" w:left="3847"/>
      </w:pPr>
    </w:lvl>
    <w:lvl w:ilvl="6">
      <w:start w:val="1"/>
      <w:numFmt w:val="decimal"/>
      <w:lvlText w:val="%7."/>
      <w:lvlJc w:val="left"/>
      <w:pPr>
        <w:ind w:hanging="360" w:left="4567"/>
      </w:pPr>
    </w:lvl>
    <w:lvl w:ilvl="7">
      <w:start w:val="1"/>
      <w:numFmt w:val="lowerLetter"/>
      <w:lvlText w:val="%8."/>
      <w:lvlJc w:val="left"/>
      <w:pPr>
        <w:ind w:hanging="360" w:left="5287"/>
      </w:pPr>
    </w:lvl>
    <w:lvl w:ilvl="8">
      <w:start w:val="1"/>
      <w:numFmt w:val="lowerRoman"/>
      <w:lvlText w:val="%9."/>
      <w:lvlJc w:val="right"/>
      <w:pPr>
        <w:ind w:hanging="180" w:left="6007"/>
      </w:pPr>
    </w:lvl>
  </w:abstractNum>
  <w:abstractNum w:abstractNumId="20">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2">
    <w:lvl w:ilvl="0">
      <w:start w:val="1"/>
      <w:numFmt w:val="decimal"/>
      <w:lvlText w:val="%1)"/>
      <w:lvlJc w:val="left"/>
      <w:pPr>
        <w:tabs>
          <w:tab w:pos="1069" w:val="num"/>
        </w:tabs>
        <w:ind w:hanging="360" w:left="1069"/>
      </w:pPr>
      <w:rPr>
        <w:b w:val="false"/>
      </w:rPr>
    </w:lvl>
    <w:lvl w:ilvl="1">
      <w:start w:val="1"/>
      <w:numFmt w:val="lowerLetter"/>
      <w:lvlText w:val="%2."/>
      <w:lvlJc w:val="left"/>
      <w:pPr>
        <w:tabs>
          <w:tab w:pos="1789" w:val="num"/>
        </w:tabs>
        <w:ind w:hanging="360" w:left="1789"/>
      </w:pPr>
    </w:lvl>
    <w:lvl w:ilvl="2">
      <w:start w:val="1"/>
      <w:numFmt w:val="lowerRoman"/>
      <w:lvlText w:val="%3."/>
      <w:lvlJc w:val="right"/>
      <w:pPr>
        <w:tabs>
          <w:tab w:pos="2509" w:val="num"/>
        </w:tabs>
        <w:ind w:hanging="180" w:left="2509"/>
      </w:pPr>
    </w:lvl>
    <w:lvl w:ilvl="3">
      <w:start w:val="1"/>
      <w:numFmt w:val="decimal"/>
      <w:lvlText w:val="%4."/>
      <w:lvlJc w:val="left"/>
      <w:pPr>
        <w:tabs>
          <w:tab w:pos="3229" w:val="num"/>
        </w:tabs>
        <w:ind w:hanging="360" w:left="3229"/>
      </w:pPr>
    </w:lvl>
    <w:lvl w:ilvl="4">
      <w:start w:val="1"/>
      <w:numFmt w:val="lowerLetter"/>
      <w:lvlText w:val="%5."/>
      <w:lvlJc w:val="left"/>
      <w:pPr>
        <w:tabs>
          <w:tab w:pos="3949" w:val="num"/>
        </w:tabs>
        <w:ind w:hanging="360" w:left="3949"/>
      </w:pPr>
    </w:lvl>
    <w:lvl w:ilvl="5">
      <w:start w:val="1"/>
      <w:numFmt w:val="lowerRoman"/>
      <w:lvlText w:val="%6."/>
      <w:lvlJc w:val="right"/>
      <w:pPr>
        <w:tabs>
          <w:tab w:pos="4669" w:val="num"/>
        </w:tabs>
        <w:ind w:hanging="180" w:left="4669"/>
      </w:pPr>
    </w:lvl>
    <w:lvl w:ilvl="6">
      <w:start w:val="1"/>
      <w:numFmt w:val="decimal"/>
      <w:lvlText w:val="%7."/>
      <w:lvlJc w:val="left"/>
      <w:pPr>
        <w:tabs>
          <w:tab w:pos="5389" w:val="num"/>
        </w:tabs>
        <w:ind w:hanging="360" w:left="5389"/>
      </w:pPr>
    </w:lvl>
    <w:lvl w:ilvl="7">
      <w:start w:val="1"/>
      <w:numFmt w:val="lowerLetter"/>
      <w:lvlText w:val="%8."/>
      <w:lvlJc w:val="left"/>
      <w:pPr>
        <w:tabs>
          <w:tab w:pos="6109" w:val="num"/>
        </w:tabs>
        <w:ind w:hanging="360" w:left="6109"/>
      </w:pPr>
    </w:lvl>
    <w:lvl w:ilvl="8">
      <w:start w:val="1"/>
      <w:numFmt w:val="lowerRoman"/>
      <w:lvlText w:val="%9."/>
      <w:lvlJc w:val="right"/>
      <w:pPr>
        <w:tabs>
          <w:tab w:pos="6829" w:val="num"/>
        </w:tabs>
        <w:ind w:hanging="180" w:left="6829"/>
      </w:pPr>
    </w:lvl>
  </w:abstractNum>
  <w:abstractNum w:abstractNumId="23">
    <w:lvl w:ilvl="0">
      <w:start w:val="1"/>
      <w:numFmt w:val="bullet"/>
      <w:lvlText w:val=""/>
      <w:lvlJc w:val="left"/>
      <w:pPr>
        <w:ind w:hanging="360" w:left="1080"/>
      </w:pPr>
      <w:rPr>
        <w:rFonts w:ascii="Wingdings" w:cs="Wingdings" w:hAnsi="Wingdings" w:hint="default"/>
      </w:rPr>
    </w:lvl>
    <w:lvl w:ilvl="1">
      <w:start w:val="1"/>
      <w:numFmt w:val="bullet"/>
      <w:lvlText w:val="o"/>
      <w:lvlJc w:val="left"/>
      <w:pPr>
        <w:ind w:hanging="360" w:left="1800"/>
      </w:pPr>
      <w:rPr>
        <w:rFonts w:ascii="Courier New" w:cs="Courier New" w:hAnsi="Courier New" w:hint="default"/>
      </w:rPr>
    </w:lvl>
    <w:lvl w:ilvl="2">
      <w:start w:val="1"/>
      <w:numFmt w:val="bullet"/>
      <w:lvlText w:val=""/>
      <w:lvlJc w:val="left"/>
      <w:pPr>
        <w:ind w:hanging="360" w:left="2520"/>
      </w:pPr>
      <w:rPr>
        <w:rFonts w:ascii="Wingdings" w:cs="Wingdings" w:hAnsi="Wingdings" w:hint="default"/>
      </w:rPr>
    </w:lvl>
    <w:lvl w:ilvl="3">
      <w:start w:val="1"/>
      <w:numFmt w:val="bullet"/>
      <w:lvlText w:val=""/>
      <w:lvlJc w:val="left"/>
      <w:pPr>
        <w:ind w:hanging="360" w:left="3240"/>
      </w:pPr>
      <w:rPr>
        <w:rFonts w:ascii="Symbol" w:cs="Symbol" w:hAnsi="Symbol" w:hint="default"/>
      </w:rPr>
    </w:lvl>
    <w:lvl w:ilvl="4">
      <w:start w:val="1"/>
      <w:numFmt w:val="bullet"/>
      <w:lvlText w:val="o"/>
      <w:lvlJc w:val="left"/>
      <w:pPr>
        <w:ind w:hanging="360" w:left="3960"/>
      </w:pPr>
      <w:rPr>
        <w:rFonts w:ascii="Courier New" w:cs="Courier New" w:hAnsi="Courier New" w:hint="default"/>
      </w:rPr>
    </w:lvl>
    <w:lvl w:ilvl="5">
      <w:start w:val="1"/>
      <w:numFmt w:val="bullet"/>
      <w:lvlText w:val=""/>
      <w:lvlJc w:val="left"/>
      <w:pPr>
        <w:ind w:hanging="360" w:left="4680"/>
      </w:pPr>
      <w:rPr>
        <w:rFonts w:ascii="Wingdings" w:cs="Wingdings" w:hAnsi="Wingdings" w:hint="default"/>
      </w:rPr>
    </w:lvl>
    <w:lvl w:ilvl="6">
      <w:start w:val="1"/>
      <w:numFmt w:val="bullet"/>
      <w:lvlText w:val=""/>
      <w:lvlJc w:val="left"/>
      <w:pPr>
        <w:ind w:hanging="360" w:left="5400"/>
      </w:pPr>
      <w:rPr>
        <w:rFonts w:ascii="Symbol" w:cs="Symbol" w:hAnsi="Symbol" w:hint="default"/>
      </w:rPr>
    </w:lvl>
    <w:lvl w:ilvl="7">
      <w:start w:val="1"/>
      <w:numFmt w:val="bullet"/>
      <w:lvlText w:val="o"/>
      <w:lvlJc w:val="left"/>
      <w:pPr>
        <w:ind w:hanging="360" w:left="6120"/>
      </w:pPr>
      <w:rPr>
        <w:rFonts w:ascii="Courier New" w:cs="Courier New" w:hAnsi="Courier New" w:hint="default"/>
      </w:rPr>
    </w:lvl>
    <w:lvl w:ilvl="8">
      <w:start w:val="1"/>
      <w:numFmt w:val="bullet"/>
      <w:lvlText w:val=""/>
      <w:lvlJc w:val="left"/>
      <w:pPr>
        <w:ind w:hanging="360" w:left="6840"/>
      </w:pPr>
      <w:rPr>
        <w:rFonts w:ascii="Wingdings" w:cs="Wingdings" w:hAnsi="Wingdings" w:hint="default"/>
      </w:rPr>
    </w:lvl>
  </w:abstractNum>
  <w:abstractNum w:abstractNumId="2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6">
    <w:lvl w:ilvl="0">
      <w:start w:val="1"/>
      <w:numFmt w:val="decimal"/>
      <w:lvlText w:val="%1."/>
      <w:lvlJc w:val="left"/>
      <w:pPr>
        <w:ind w:hanging="360" w:left="360"/>
      </w:pPr>
    </w:lvl>
    <w:lvl w:ilvl="1">
      <w:start w:val="1"/>
      <w:numFmt w:val="decimal"/>
      <w:lvlText w:val="%2)"/>
      <w:lvlJc w:val="left"/>
      <w:pPr>
        <w:ind w:hanging="705" w:left="4675"/>
      </w:pPr>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7">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8">
    <w:lvl w:ilvl="0">
      <w:start w:val="1"/>
      <w:numFmt w:val="bullet"/>
      <w:lvlText w:val=""/>
      <w:lvlJc w:val="left"/>
      <w:pPr>
        <w:tabs>
          <w:tab w:pos="898" w:val="num"/>
        </w:tabs>
        <w:ind w:hanging="360" w:left="898"/>
      </w:pPr>
      <w:rPr>
        <w:rFonts w:ascii="Symbol" w:cs="Symbol" w:hAnsi="Symbol" w:hint="default"/>
      </w:rPr>
    </w:lvl>
    <w:lvl w:ilvl="1">
      <w:start w:val="2"/>
      <w:numFmt w:val="decimal"/>
      <w:lvlText w:val="%1.%2."/>
      <w:lvlJc w:val="left"/>
      <w:pPr>
        <w:ind w:hanging="360" w:left="898"/>
      </w:pPr>
    </w:lvl>
    <w:lvl w:ilvl="2">
      <w:start w:val="1"/>
      <w:numFmt w:val="decimal"/>
      <w:lvlText w:val="%1.%2.%3."/>
      <w:lvlJc w:val="left"/>
      <w:pPr>
        <w:ind w:hanging="720" w:left="1258"/>
      </w:pPr>
    </w:lvl>
    <w:lvl w:ilvl="3">
      <w:start w:val="1"/>
      <w:numFmt w:val="decimal"/>
      <w:lvlText w:val="%1.%2.%3.%4."/>
      <w:lvlJc w:val="left"/>
      <w:pPr>
        <w:ind w:hanging="720" w:left="1258"/>
      </w:pPr>
    </w:lvl>
    <w:lvl w:ilvl="4">
      <w:start w:val="1"/>
      <w:numFmt w:val="decimal"/>
      <w:lvlText w:val="%1.%2.%3.%4.%5."/>
      <w:lvlJc w:val="left"/>
      <w:pPr>
        <w:ind w:hanging="1080" w:left="1618"/>
      </w:pPr>
    </w:lvl>
    <w:lvl w:ilvl="5">
      <w:start w:val="1"/>
      <w:numFmt w:val="decimal"/>
      <w:lvlText w:val="%1.%2.%3.%4.%5.%6."/>
      <w:lvlJc w:val="left"/>
      <w:pPr>
        <w:ind w:hanging="1080" w:left="1618"/>
      </w:pPr>
    </w:lvl>
    <w:lvl w:ilvl="6">
      <w:start w:val="1"/>
      <w:numFmt w:val="decimal"/>
      <w:lvlText w:val="%1.%2.%3.%4.%5.%6.%7."/>
      <w:lvlJc w:val="left"/>
      <w:pPr>
        <w:ind w:hanging="1440" w:left="1978"/>
      </w:pPr>
    </w:lvl>
    <w:lvl w:ilvl="7">
      <w:start w:val="1"/>
      <w:numFmt w:val="decimal"/>
      <w:lvlText w:val="%1.%2.%3.%4.%5.%6.%7.%8."/>
      <w:lvlJc w:val="left"/>
      <w:pPr>
        <w:ind w:hanging="1440" w:left="1978"/>
      </w:pPr>
    </w:lvl>
    <w:lvl w:ilvl="8">
      <w:start w:val="1"/>
      <w:numFmt w:val="decimal"/>
      <w:lvlText w:val="%1.%2.%3.%4.%5.%6.%7.%8.%9."/>
      <w:lvlJc w:val="left"/>
      <w:pPr>
        <w:ind w:hanging="1800" w:left="2338"/>
      </w:pPr>
    </w:lvl>
  </w:abstractNum>
  <w:abstractNum w:abstractNumId="2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0">
    <w:lvl w:ilvl="0">
      <w:start w:val="1"/>
      <w:numFmt w:val="bullet"/>
      <w:lvlText w:val=""/>
      <w:lvlJc w:val="left"/>
      <w:pPr>
        <w:ind w:hanging="360" w:left="1077"/>
      </w:pPr>
      <w:rPr>
        <w:rFonts w:ascii="Symbol" w:cs="Symbol" w:hAnsi="Symbol" w:hint="default"/>
      </w:rPr>
    </w:lvl>
    <w:lvl w:ilvl="1">
      <w:start w:val="1"/>
      <w:numFmt w:val="bullet"/>
      <w:lvlText w:val="o"/>
      <w:lvlJc w:val="left"/>
      <w:pPr>
        <w:ind w:hanging="360" w:left="1797"/>
      </w:pPr>
      <w:rPr>
        <w:rFonts w:ascii="Courier New" w:cs="Courier New" w:hAnsi="Courier New" w:hint="default"/>
      </w:rPr>
    </w:lvl>
    <w:lvl w:ilvl="2">
      <w:start w:val="1"/>
      <w:numFmt w:val="bullet"/>
      <w:lvlText w:val=""/>
      <w:lvlJc w:val="left"/>
      <w:pPr>
        <w:ind w:hanging="360" w:left="2517"/>
      </w:pPr>
      <w:rPr>
        <w:rFonts w:ascii="Wingdings" w:cs="Wingdings" w:hAnsi="Wingdings" w:hint="default"/>
      </w:rPr>
    </w:lvl>
    <w:lvl w:ilvl="3">
      <w:start w:val="1"/>
      <w:numFmt w:val="bullet"/>
      <w:lvlText w:val=""/>
      <w:lvlJc w:val="left"/>
      <w:pPr>
        <w:ind w:hanging="360" w:left="3237"/>
      </w:pPr>
      <w:rPr>
        <w:rFonts w:ascii="Symbol" w:cs="Symbol" w:hAnsi="Symbol" w:hint="default"/>
      </w:rPr>
    </w:lvl>
    <w:lvl w:ilvl="4">
      <w:start w:val="1"/>
      <w:numFmt w:val="bullet"/>
      <w:lvlText w:val="o"/>
      <w:lvlJc w:val="left"/>
      <w:pPr>
        <w:ind w:hanging="360" w:left="3957"/>
      </w:pPr>
      <w:rPr>
        <w:rFonts w:ascii="Courier New" w:cs="Courier New" w:hAnsi="Courier New" w:hint="default"/>
      </w:rPr>
    </w:lvl>
    <w:lvl w:ilvl="5">
      <w:start w:val="1"/>
      <w:numFmt w:val="bullet"/>
      <w:lvlText w:val=""/>
      <w:lvlJc w:val="left"/>
      <w:pPr>
        <w:ind w:hanging="360" w:left="4677"/>
      </w:pPr>
      <w:rPr>
        <w:rFonts w:ascii="Wingdings" w:cs="Wingdings" w:hAnsi="Wingdings" w:hint="default"/>
      </w:rPr>
    </w:lvl>
    <w:lvl w:ilvl="6">
      <w:start w:val="1"/>
      <w:numFmt w:val="bullet"/>
      <w:lvlText w:val=""/>
      <w:lvlJc w:val="left"/>
      <w:pPr>
        <w:ind w:hanging="360" w:left="5397"/>
      </w:pPr>
      <w:rPr>
        <w:rFonts w:ascii="Symbol" w:cs="Symbol" w:hAnsi="Symbol" w:hint="default"/>
      </w:rPr>
    </w:lvl>
    <w:lvl w:ilvl="7">
      <w:start w:val="1"/>
      <w:numFmt w:val="bullet"/>
      <w:lvlText w:val="o"/>
      <w:lvlJc w:val="left"/>
      <w:pPr>
        <w:ind w:hanging="360" w:left="6117"/>
      </w:pPr>
      <w:rPr>
        <w:rFonts w:ascii="Courier New" w:cs="Courier New" w:hAnsi="Courier New" w:hint="default"/>
      </w:rPr>
    </w:lvl>
    <w:lvl w:ilvl="8">
      <w:start w:val="1"/>
      <w:numFmt w:val="bullet"/>
      <w:lvlText w:val=""/>
      <w:lvlJc w:val="left"/>
      <w:pPr>
        <w:ind w:hanging="360" w:left="6837"/>
      </w:pPr>
      <w:rPr>
        <w:rFonts w:ascii="Wingdings" w:cs="Wingdings" w:hAnsi="Wingdings" w:hint="default"/>
      </w:rPr>
    </w:lvl>
  </w:abstractNum>
  <w:abstractNum w:abstractNumId="3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20"/>
  <w:defaultTabStop w:val="708"/>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pPr>
    <w:rPr>
      <w:rFonts w:ascii="Times New Roman" w:cs="Times New Roman" w:eastAsia="Lucida Sans Unicode" w:hAnsi="Times New Roman"/>
      <w:color w:val="auto"/>
      <w:sz w:val="24"/>
      <w:szCs w:val="24"/>
      <w:lang w:bidi="ar-SA" w:eastAsia="en-US" w:val="pl-PL"/>
    </w:rPr>
  </w:style>
  <w:style w:styleId="style15" w:type="character">
    <w:name w:val="Default Paragraph Font"/>
    <w:next w:val="style15"/>
    <w:rPr/>
  </w:style>
  <w:style w:styleId="style16" w:type="character">
    <w:name w:val="Łącze internetowe"/>
    <w:next w:val="style16"/>
    <w:rPr>
      <w:color w:val="000080"/>
      <w:u w:val="single"/>
      <w:lang w:bidi="zxx-" w:eastAsia="zxx-" w:val="zxx-"/>
    </w:rPr>
  </w:style>
  <w:style w:styleId="style17" w:type="character">
    <w:name w:val="Tekst podstawowy Znak"/>
    <w:basedOn w:val="style15"/>
    <w:next w:val="style17"/>
    <w:rPr>
      <w:rFonts w:ascii="Times New Roman" w:cs="Times New Roman" w:eastAsia="Lucida Sans Unicode" w:hAnsi="Times New Roman"/>
      <w:sz w:val="24"/>
      <w:szCs w:val="24"/>
    </w:rPr>
  </w:style>
  <w:style w:styleId="style18" w:type="character">
    <w:name w:val="Stopka Znak"/>
    <w:basedOn w:val="style15"/>
    <w:next w:val="style18"/>
    <w:rPr>
      <w:rFonts w:ascii="Times New Roman" w:cs="Times New Roman" w:eastAsia="Lucida Sans Unicode" w:hAnsi="Times New Roman"/>
      <w:sz w:val="24"/>
      <w:szCs w:val="24"/>
    </w:rPr>
  </w:style>
  <w:style w:styleId="style19" w:type="character">
    <w:name w:val="Nagłówek Znak"/>
    <w:basedOn w:val="style15"/>
    <w:next w:val="style19"/>
    <w:rPr>
      <w:rFonts w:ascii="Times New Roman" w:cs="Times New Roman" w:eastAsia="Lucida Sans Unicode" w:hAnsi="Times New Roman"/>
      <w:sz w:val="24"/>
      <w:szCs w:val="24"/>
    </w:rPr>
  </w:style>
  <w:style w:styleId="style20" w:type="character">
    <w:name w:val="Tekst dymka Znak"/>
    <w:basedOn w:val="style15"/>
    <w:next w:val="style20"/>
    <w:rPr>
      <w:rFonts w:ascii="Segoe UI" w:cs="Segoe UI" w:eastAsia="Lucida Sans Unicode" w:hAnsi="Segoe UI"/>
      <w:sz w:val="18"/>
      <w:szCs w:val="18"/>
    </w:rPr>
  </w:style>
  <w:style w:styleId="style21" w:type="character">
    <w:name w:val="Tekst przypisu dolnego Znak"/>
    <w:basedOn w:val="style15"/>
    <w:next w:val="style21"/>
    <w:rPr>
      <w:rFonts w:ascii="Trebuchet MS" w:cs="Times New Roman" w:eastAsia="Times New Roman" w:hAnsi="Trebuchet MS"/>
      <w:sz w:val="20"/>
      <w:szCs w:val="20"/>
      <w:lang w:eastAsia="pl-PL" w:val="pl-PL"/>
    </w:rPr>
  </w:style>
  <w:style w:styleId="style22" w:type="character">
    <w:name w:val="footnote reference"/>
    <w:next w:val="style22"/>
    <w:rPr>
      <w:vertAlign w:val="superscript"/>
    </w:rPr>
  </w:style>
  <w:style w:styleId="style23" w:type="character">
    <w:name w:val="ListLabel 1"/>
    <w:next w:val="style23"/>
    <w:rPr>
      <w:rFonts w:cs="StarSymbol"/>
      <w:sz w:val="18"/>
      <w:szCs w:val="18"/>
    </w:rPr>
  </w:style>
  <w:style w:styleId="style24" w:type="character">
    <w:name w:val="ListLabel 2"/>
    <w:next w:val="style24"/>
    <w:rPr>
      <w:b w:val="false"/>
    </w:rPr>
  </w:style>
  <w:style w:styleId="style25" w:type="character">
    <w:name w:val="ListLabel 3"/>
    <w:next w:val="style25"/>
    <w:rPr>
      <w:rFonts w:cs="Courier New"/>
    </w:rPr>
  </w:style>
  <w:style w:styleId="style26" w:type="character">
    <w:name w:val="ListLabel 4"/>
    <w:next w:val="style26"/>
    <w:rPr>
      <w:b/>
    </w:rPr>
  </w:style>
  <w:style w:styleId="style27" w:type="character">
    <w:name w:val="ListLabel 5"/>
    <w:next w:val="style27"/>
    <w:rPr>
      <w:rFonts w:cs="Times New Roman" w:eastAsia="Times New Roman"/>
    </w:rPr>
  </w:style>
  <w:style w:styleId="style28" w:type="character">
    <w:name w:val="Znaki przypisów dolnych"/>
    <w:next w:val="style28"/>
    <w:rPr/>
  </w:style>
  <w:style w:styleId="style29" w:type="character">
    <w:name w:val="Zakotwiczenie przypisu dolnego"/>
    <w:next w:val="style29"/>
    <w:rPr>
      <w:vertAlign w:val="superscript"/>
    </w:rPr>
  </w:style>
  <w:style w:styleId="style30" w:type="character">
    <w:name w:val="Zakotwiczenie przypisu końcowego"/>
    <w:next w:val="style30"/>
    <w:rPr>
      <w:vertAlign w:val="superscript"/>
    </w:rPr>
  </w:style>
  <w:style w:styleId="style31" w:type="character">
    <w:name w:val="Znaki przypisów końcowych"/>
    <w:next w:val="style31"/>
    <w:rPr/>
  </w:style>
  <w:style w:styleId="style32" w:type="paragraph">
    <w:name w:val="Nagłówek"/>
    <w:basedOn w:val="style0"/>
    <w:next w:val="style33"/>
    <w:pPr>
      <w:keepNext/>
      <w:spacing w:after="120" w:before="240"/>
      <w:contextualSpacing w:val="false"/>
    </w:pPr>
    <w:rPr>
      <w:rFonts w:ascii="Arial" w:cs="Mangal" w:eastAsia="Microsoft YaHei" w:hAnsi="Arial"/>
      <w:sz w:val="28"/>
      <w:szCs w:val="28"/>
    </w:rPr>
  </w:style>
  <w:style w:styleId="style33" w:type="paragraph">
    <w:name w:val="Treść tekstu"/>
    <w:basedOn w:val="style0"/>
    <w:next w:val="style33"/>
    <w:pPr>
      <w:spacing w:after="120" w:before="0"/>
      <w:contextualSpacing w:val="false"/>
    </w:pPr>
    <w:rPr/>
  </w:style>
  <w:style w:styleId="style34" w:type="paragraph">
    <w:name w:val="Lista"/>
    <w:basedOn w:val="style33"/>
    <w:next w:val="style34"/>
    <w:pPr/>
    <w:rPr>
      <w:rFonts w:cs="Mangal"/>
    </w:rPr>
  </w:style>
  <w:style w:styleId="style35" w:type="paragraph">
    <w:name w:val="Podpis"/>
    <w:basedOn w:val="style0"/>
    <w:next w:val="style35"/>
    <w:pPr>
      <w:suppressLineNumbers/>
      <w:spacing w:after="120" w:before="120"/>
      <w:contextualSpacing w:val="false"/>
    </w:pPr>
    <w:rPr>
      <w:rFonts w:cs="Mangal"/>
      <w:i/>
      <w:iCs/>
      <w:sz w:val="24"/>
      <w:szCs w:val="24"/>
    </w:rPr>
  </w:style>
  <w:style w:styleId="style36" w:type="paragraph">
    <w:name w:val="Indeks"/>
    <w:basedOn w:val="style0"/>
    <w:next w:val="style36"/>
    <w:pPr>
      <w:suppressLineNumbers/>
    </w:pPr>
    <w:rPr>
      <w:rFonts w:cs="Mangal"/>
    </w:rPr>
  </w:style>
  <w:style w:styleId="style37" w:type="paragraph">
    <w:name w:val="Stopka"/>
    <w:basedOn w:val="style0"/>
    <w:next w:val="style37"/>
    <w:pPr>
      <w:suppressLineNumbers/>
      <w:tabs>
        <w:tab w:leader="none" w:pos="4818" w:val="center"/>
        <w:tab w:leader="none" w:pos="9637" w:val="right"/>
      </w:tabs>
    </w:pPr>
    <w:rPr/>
  </w:style>
  <w:style w:styleId="style38" w:type="paragraph">
    <w:name w:val="Zawartość tabeli"/>
    <w:basedOn w:val="style0"/>
    <w:next w:val="style38"/>
    <w:pPr>
      <w:suppressLineNumbers/>
    </w:pPr>
    <w:rPr/>
  </w:style>
  <w:style w:styleId="style39" w:type="paragraph">
    <w:name w:val="List Paragraph"/>
    <w:basedOn w:val="style0"/>
    <w:next w:val="style39"/>
    <w:pPr>
      <w:spacing w:after="0" w:before="0"/>
      <w:ind w:hanging="0" w:left="720" w:right="0"/>
      <w:contextualSpacing/>
    </w:pPr>
    <w:rPr/>
  </w:style>
  <w:style w:styleId="style40" w:type="paragraph">
    <w:name w:val="Główka"/>
    <w:basedOn w:val="style0"/>
    <w:next w:val="style40"/>
    <w:pPr>
      <w:tabs>
        <w:tab w:leader="none" w:pos="4536" w:val="center"/>
        <w:tab w:leader="none" w:pos="9072" w:val="right"/>
      </w:tabs>
    </w:pPr>
    <w:rPr/>
  </w:style>
  <w:style w:styleId="style41" w:type="paragraph">
    <w:name w:val="Balloon Text"/>
    <w:basedOn w:val="style0"/>
    <w:next w:val="style41"/>
    <w:pPr/>
    <w:rPr>
      <w:rFonts w:ascii="Segoe UI" w:cs="Segoe UI" w:hAnsi="Segoe UI"/>
      <w:sz w:val="18"/>
      <w:szCs w:val="18"/>
    </w:rPr>
  </w:style>
  <w:style w:styleId="style42" w:type="paragraph">
    <w:name w:val="footnote text"/>
    <w:basedOn w:val="style0"/>
    <w:next w:val="style42"/>
    <w:pPr>
      <w:widowControl/>
      <w:suppressAutoHyphens w:val="false"/>
    </w:pPr>
    <w:rPr>
      <w:rFonts w:ascii="Trebuchet MS" w:eastAsia="Times New Roman" w:hAnsi="Trebuchet MS"/>
      <w:sz w:val="20"/>
      <w:szCs w:val="20"/>
      <w:lang w:eastAsia="pl-PL" w:val="pl-PL"/>
    </w:rPr>
  </w:style>
  <w:style w:styleId="style43" w:type="paragraph">
    <w:name w:val="Przypis dolny"/>
    <w:basedOn w:val="style0"/>
    <w:next w:val="style4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ro.com.pl" TargetMode="External"/><Relationship Id="rId3" Type="http://schemas.openxmlformats.org/officeDocument/2006/relationships/hyperlink" Target="http://www.ro.com.pl/" TargetMode="External"/><Relationship Id="rId4" Type="http://schemas.openxmlformats.org/officeDocument/2006/relationships/hyperlink" Target="http://www.ro.com.pl/" TargetMode="External"/><Relationship Id="rId5" Type="http://schemas.openxmlformats.org/officeDocument/2006/relationships/footer" Target="footer1.xml"/><Relationship Id="rId6" Type="http://schemas.openxmlformats.org/officeDocument/2006/relationships/hyperlink" Target="mailto:zp@ro.com.pl" TargetMode="External"/><Relationship Id="rId7" Type="http://schemas.openxmlformats.org/officeDocument/2006/relationships/hyperlink" Target="mailto:zp@ro.com.pl"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731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2016-01-25T10:14:00.00Z</dcterms:created>
  <dc:creator>Anna Bonikowska</dc:creator>
  <cp:lastModifiedBy>Anna Bonikowska</cp:lastModifiedBy>
  <cp:lastPrinted>2016-01-28T11:44:00.00Z</cp:lastPrinted>
  <dcterms:modified xsi:type="dcterms:W3CDTF">2016-02-02T07:55:00.00Z</dcterms:modified>
  <cp:revision>124</cp:revision>
</cp:coreProperties>
</file>